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1C205" w14:textId="77777777" w:rsidR="00515CE6" w:rsidRPr="00515CE6" w:rsidRDefault="00515CE6" w:rsidP="00515CE6">
      <w:pPr>
        <w:pStyle w:val="Overskrift1"/>
        <w:rPr>
          <w:b/>
          <w:bCs/>
        </w:rPr>
      </w:pPr>
      <w:r w:rsidRPr="00515CE6">
        <w:rPr>
          <w:b/>
          <w:bCs/>
        </w:rPr>
        <w:t>Endringer i planbestemmelsene, jf. styringsgruppemøte 9.2.2021</w:t>
      </w:r>
    </w:p>
    <w:p w14:paraId="778D1633" w14:textId="77777777" w:rsidR="00515CE6" w:rsidRDefault="00515CE6" w:rsidP="00515CE6">
      <w:pPr>
        <w:spacing w:after="0"/>
        <w:rPr>
          <w:rFonts w:cs="Arial"/>
          <w:b/>
          <w:bCs/>
          <w:sz w:val="24"/>
          <w:szCs w:val="24"/>
        </w:rPr>
      </w:pPr>
    </w:p>
    <w:p w14:paraId="7A99A14E" w14:textId="77777777" w:rsidR="00515CE6" w:rsidRPr="00137B38" w:rsidRDefault="00515CE6" w:rsidP="00515CE6">
      <w:pPr>
        <w:spacing w:after="0"/>
        <w:rPr>
          <w:rFonts w:cs="Arial"/>
          <w:b/>
          <w:bCs/>
          <w:color w:val="2F5496" w:themeColor="accent1" w:themeShade="BF"/>
          <w:sz w:val="24"/>
          <w:szCs w:val="24"/>
        </w:rPr>
      </w:pPr>
      <w:r w:rsidRPr="00137B38">
        <w:rPr>
          <w:rFonts w:cs="Arial"/>
          <w:b/>
          <w:bCs/>
          <w:color w:val="2F5496" w:themeColor="accent1" w:themeShade="BF"/>
          <w:sz w:val="24"/>
          <w:szCs w:val="24"/>
        </w:rPr>
        <w:t>Bestemmelser om sikring av bygninger og infrastruktur i områder der grunnen synker</w:t>
      </w:r>
    </w:p>
    <w:p w14:paraId="72CE140F" w14:textId="77777777" w:rsidR="00515CE6" w:rsidRDefault="00515CE6" w:rsidP="00515CE6">
      <w:pPr>
        <w:spacing w:after="0"/>
        <w:rPr>
          <w:rFonts w:cs="Arial"/>
          <w:b/>
          <w:bCs/>
          <w:sz w:val="24"/>
          <w:szCs w:val="24"/>
        </w:rPr>
      </w:pPr>
    </w:p>
    <w:p w14:paraId="66E484D9" w14:textId="77777777" w:rsidR="009B588A" w:rsidRDefault="009B588A" w:rsidP="00515CE6">
      <w:pPr>
        <w:spacing w:after="0"/>
        <w:rPr>
          <w:rFonts w:cs="Arial"/>
          <w:b/>
          <w:bCs/>
          <w:sz w:val="24"/>
          <w:szCs w:val="24"/>
        </w:rPr>
      </w:pPr>
      <w:r>
        <w:rPr>
          <w:rFonts w:cs="Arial"/>
          <w:b/>
          <w:bCs/>
          <w:sz w:val="24"/>
          <w:szCs w:val="24"/>
        </w:rPr>
        <w:t>Bakgrunn</w:t>
      </w:r>
    </w:p>
    <w:p w14:paraId="67C96D58" w14:textId="77777777" w:rsidR="009B588A" w:rsidRDefault="009B588A" w:rsidP="009B588A">
      <w:r>
        <w:t>I deler av sentrum er byggegrunnen ustabil, blant annet fordi det tidligere er foretatt utfylling med ulike typer fyllmasser</w:t>
      </w:r>
      <w:r w:rsidR="008A4B69">
        <w:t xml:space="preserve">. Disse er </w:t>
      </w:r>
      <w:r>
        <w:t>til dels organiske</w:t>
      </w:r>
      <w:r w:rsidR="008A4B69">
        <w:t>. Massene kan komprimeres ved belastning eller omdannes når det kommer oksygen inn som følge av blant annet endringer i grunnvannsnivået.</w:t>
      </w:r>
    </w:p>
    <w:p w14:paraId="3574B41E" w14:textId="77777777" w:rsidR="008A4B69" w:rsidRDefault="008A4B69" w:rsidP="009B588A">
      <w:r>
        <w:rPr>
          <w:noProof/>
        </w:rPr>
        <w:drawing>
          <wp:inline distT="0" distB="0" distL="0" distR="0" wp14:anchorId="501F9277" wp14:editId="6642C79B">
            <wp:extent cx="5760720" cy="236283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2362835"/>
                    </a:xfrm>
                    <a:prstGeom prst="rect">
                      <a:avLst/>
                    </a:prstGeom>
                  </pic:spPr>
                </pic:pic>
              </a:graphicData>
            </a:graphic>
          </wp:inline>
        </w:drawing>
      </w:r>
    </w:p>
    <w:p w14:paraId="592EB2FF" w14:textId="77777777" w:rsidR="008A4B69" w:rsidRPr="00357C56" w:rsidRDefault="008A4B69" w:rsidP="009B588A">
      <w:pPr>
        <w:rPr>
          <w:sz w:val="20"/>
          <w:szCs w:val="20"/>
        </w:rPr>
      </w:pPr>
      <w:r w:rsidRPr="00357C56">
        <w:rPr>
          <w:sz w:val="20"/>
          <w:szCs w:val="20"/>
        </w:rPr>
        <w:t xml:space="preserve">Fig. 1 </w:t>
      </w:r>
      <w:proofErr w:type="spellStart"/>
      <w:r w:rsidRPr="00357C56">
        <w:rPr>
          <w:sz w:val="20"/>
          <w:szCs w:val="20"/>
        </w:rPr>
        <w:t>Løsmassekart</w:t>
      </w:r>
      <w:proofErr w:type="spellEnd"/>
      <w:r w:rsidRPr="00357C56">
        <w:rPr>
          <w:sz w:val="20"/>
          <w:szCs w:val="20"/>
        </w:rPr>
        <w:t xml:space="preserve"> (kilde: NGU</w:t>
      </w:r>
      <w:r w:rsidR="00357C56" w:rsidRPr="00357C56">
        <w:rPr>
          <w:sz w:val="20"/>
          <w:szCs w:val="20"/>
        </w:rPr>
        <w:t>). De grå områdene angir antropogene fyllmasser.</w:t>
      </w:r>
    </w:p>
    <w:p w14:paraId="6F95C124" w14:textId="77777777" w:rsidR="00357C56" w:rsidRDefault="00357C56" w:rsidP="009B588A"/>
    <w:p w14:paraId="5F1F807B" w14:textId="77777777" w:rsidR="00357C56" w:rsidRDefault="00357C56" w:rsidP="009B588A">
      <w:r>
        <w:t>Under fyllmassene vil det være mulighet for marin leire av ulik mektighet.</w:t>
      </w:r>
    </w:p>
    <w:p w14:paraId="5690D901" w14:textId="77777777" w:rsidR="00357C56" w:rsidRDefault="00357C56" w:rsidP="009B588A">
      <w:r>
        <w:rPr>
          <w:noProof/>
        </w:rPr>
        <w:drawing>
          <wp:inline distT="0" distB="0" distL="0" distR="0" wp14:anchorId="2AF06020" wp14:editId="62A464CB">
            <wp:extent cx="5760720" cy="2203450"/>
            <wp:effectExtent l="0" t="0" r="0" b="635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203450"/>
                    </a:xfrm>
                    <a:prstGeom prst="rect">
                      <a:avLst/>
                    </a:prstGeom>
                  </pic:spPr>
                </pic:pic>
              </a:graphicData>
            </a:graphic>
          </wp:inline>
        </w:drawing>
      </w:r>
    </w:p>
    <w:p w14:paraId="0DE1F1E7" w14:textId="77777777" w:rsidR="00357C56" w:rsidRPr="00357C56" w:rsidRDefault="00357C56" w:rsidP="009B588A">
      <w:pPr>
        <w:rPr>
          <w:sz w:val="20"/>
          <w:szCs w:val="20"/>
        </w:rPr>
      </w:pPr>
      <w:r w:rsidRPr="00357C56">
        <w:rPr>
          <w:sz w:val="20"/>
          <w:szCs w:val="20"/>
        </w:rPr>
        <w:t>Fig. 2. Kart som viser mulighet for marin leire (kilde NGU). De lysere blå områdene markerer områder med «stor mulighet for marin leire», mens de mørkere blå områdene angir arealer med «svært stor mulighet for marin leire».</w:t>
      </w:r>
    </w:p>
    <w:p w14:paraId="3009EC08" w14:textId="77777777" w:rsidR="00357C56" w:rsidRDefault="00357C56" w:rsidP="009B588A"/>
    <w:p w14:paraId="07B0C2D4" w14:textId="77777777" w:rsidR="00357C56" w:rsidRPr="009B588A" w:rsidRDefault="00357C56" w:rsidP="009B588A">
      <w:r>
        <w:lastRenderedPageBreak/>
        <w:t xml:space="preserve">Samtidig viser overvåkningsdata </w:t>
      </w:r>
      <w:r w:rsidR="000F4525">
        <w:t>(</w:t>
      </w:r>
      <w:proofErr w:type="spellStart"/>
      <w:r>
        <w:t>I</w:t>
      </w:r>
      <w:r w:rsidR="000F4525">
        <w:t>n</w:t>
      </w:r>
      <w:r>
        <w:t>SAR</w:t>
      </w:r>
      <w:proofErr w:type="spellEnd"/>
      <w:r w:rsidR="000F4525">
        <w:t>-Norway)</w:t>
      </w:r>
      <w:r>
        <w:t xml:space="preserve"> at deler av disse områdene synker årlig med </w:t>
      </w:r>
      <w:r w:rsidR="000F4525">
        <w:t>opptil 20 mm:</w:t>
      </w:r>
    </w:p>
    <w:p w14:paraId="232F0347" w14:textId="77777777" w:rsidR="009B588A" w:rsidRDefault="000F4525" w:rsidP="00515CE6">
      <w:pPr>
        <w:spacing w:after="160" w:line="259" w:lineRule="auto"/>
        <w:rPr>
          <w:b/>
          <w:sz w:val="28"/>
          <w:szCs w:val="28"/>
        </w:rPr>
      </w:pPr>
      <w:r>
        <w:rPr>
          <w:noProof/>
        </w:rPr>
        <w:drawing>
          <wp:inline distT="0" distB="0" distL="0" distR="0" wp14:anchorId="57BBB04A" wp14:editId="5666D9FA">
            <wp:extent cx="5760720" cy="3094355"/>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094355"/>
                    </a:xfrm>
                    <a:prstGeom prst="rect">
                      <a:avLst/>
                    </a:prstGeom>
                  </pic:spPr>
                </pic:pic>
              </a:graphicData>
            </a:graphic>
          </wp:inline>
        </w:drawing>
      </w:r>
    </w:p>
    <w:p w14:paraId="5D9D807A" w14:textId="77777777" w:rsidR="000F4525" w:rsidRDefault="000F4525" w:rsidP="00515CE6">
      <w:pPr>
        <w:spacing w:after="160" w:line="259" w:lineRule="auto"/>
        <w:rPr>
          <w:b/>
          <w:sz w:val="28"/>
          <w:szCs w:val="28"/>
        </w:rPr>
      </w:pPr>
      <w:r>
        <w:rPr>
          <w:noProof/>
        </w:rPr>
        <w:drawing>
          <wp:inline distT="0" distB="0" distL="0" distR="0" wp14:anchorId="42C53685" wp14:editId="22C958F8">
            <wp:extent cx="1535502" cy="678373"/>
            <wp:effectExtent l="0" t="0" r="7620" b="762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20398"/>
                    <a:stretch/>
                  </pic:blipFill>
                  <pic:spPr bwMode="auto">
                    <a:xfrm>
                      <a:off x="0" y="0"/>
                      <a:ext cx="1554109" cy="686593"/>
                    </a:xfrm>
                    <a:prstGeom prst="rect">
                      <a:avLst/>
                    </a:prstGeom>
                    <a:ln>
                      <a:noFill/>
                    </a:ln>
                    <a:extLst>
                      <a:ext uri="{53640926-AAD7-44D8-BBD7-CCE9431645EC}">
                        <a14:shadowObscured xmlns:a14="http://schemas.microsoft.com/office/drawing/2010/main"/>
                      </a:ext>
                    </a:extLst>
                  </pic:spPr>
                </pic:pic>
              </a:graphicData>
            </a:graphic>
          </wp:inline>
        </w:drawing>
      </w:r>
    </w:p>
    <w:p w14:paraId="7E569F4F" w14:textId="77777777" w:rsidR="000F4525" w:rsidRDefault="000F4525" w:rsidP="00515CE6">
      <w:pPr>
        <w:spacing w:after="160" w:line="259" w:lineRule="auto"/>
        <w:rPr>
          <w:noProof/>
        </w:rPr>
      </w:pPr>
    </w:p>
    <w:p w14:paraId="5C2A957B" w14:textId="77777777" w:rsidR="000F4525" w:rsidRDefault="000F4525" w:rsidP="000F4525">
      <w:r>
        <w:t xml:space="preserve">Med bakgrunn i disse forholdene er det behov for å ha bestemmelser i kommuneplanen som gir føringer for utarbeidelse av reguleringsplaner og krav til tiltak i slike områder. </w:t>
      </w:r>
    </w:p>
    <w:p w14:paraId="68B56C38" w14:textId="77777777" w:rsidR="000F4525" w:rsidRDefault="000F4525" w:rsidP="000F4525">
      <w:r>
        <w:t>Nedenfor følger forslag til nye bestemmelser. Disse vil supplere sentrumsplanen</w:t>
      </w:r>
      <w:r w:rsidR="0099382D">
        <w:t xml:space="preserve"> der den er taus, jf. forslag til kommuneplanbestemmelser § 2.1.2.</w:t>
      </w:r>
    </w:p>
    <w:p w14:paraId="130586B3" w14:textId="77777777" w:rsidR="009F41DB" w:rsidRDefault="009F41DB" w:rsidP="000F4525">
      <w:pPr>
        <w:rPr>
          <w:b/>
          <w:bCs/>
          <w:sz w:val="24"/>
          <w:szCs w:val="24"/>
        </w:rPr>
      </w:pPr>
    </w:p>
    <w:p w14:paraId="560D3926" w14:textId="77777777" w:rsidR="0099382D" w:rsidRPr="009F41DB" w:rsidRDefault="0099382D" w:rsidP="000F4525">
      <w:pPr>
        <w:rPr>
          <w:b/>
          <w:bCs/>
          <w:sz w:val="24"/>
          <w:szCs w:val="24"/>
        </w:rPr>
      </w:pPr>
      <w:r w:rsidRPr="009F41DB">
        <w:rPr>
          <w:b/>
          <w:bCs/>
          <w:sz w:val="24"/>
          <w:szCs w:val="24"/>
        </w:rPr>
        <w:t>Planbestemme</w:t>
      </w:r>
      <w:r w:rsidR="000558FF" w:rsidRPr="009F41DB">
        <w:rPr>
          <w:b/>
          <w:bCs/>
          <w:sz w:val="24"/>
          <w:szCs w:val="24"/>
        </w:rPr>
        <w:t xml:space="preserve">lser </w:t>
      </w:r>
    </w:p>
    <w:p w14:paraId="54564284" w14:textId="77777777" w:rsidR="00515CE6" w:rsidRPr="009F41DB" w:rsidRDefault="00515CE6" w:rsidP="009F41DB">
      <w:pPr>
        <w:spacing w:after="160" w:line="259" w:lineRule="auto"/>
        <w:rPr>
          <w:b/>
          <w:color w:val="2F5496" w:themeColor="accent1" w:themeShade="BF"/>
          <w:sz w:val="24"/>
          <w:szCs w:val="24"/>
        </w:rPr>
      </w:pPr>
      <w:r w:rsidRPr="009F41DB">
        <w:rPr>
          <w:b/>
          <w:color w:val="2F5496" w:themeColor="accent1" w:themeShade="BF"/>
          <w:sz w:val="24"/>
          <w:szCs w:val="24"/>
        </w:rPr>
        <w:t>§ 2.3</w:t>
      </w:r>
      <w:r w:rsidRPr="009F41DB">
        <w:rPr>
          <w:b/>
          <w:color w:val="2F5496" w:themeColor="accent1" w:themeShade="BF"/>
          <w:sz w:val="24"/>
          <w:szCs w:val="24"/>
        </w:rPr>
        <w:tab/>
        <w:t xml:space="preserve">Forhold som skal avklares og belyses i videre reguleringsarbeid </w:t>
      </w:r>
      <w:r w:rsidRPr="009F41DB">
        <w:rPr>
          <w:rFonts w:cs="Arial"/>
          <w:b/>
          <w:bCs/>
          <w:color w:val="2F5496" w:themeColor="accent1" w:themeShade="BF"/>
          <w:sz w:val="24"/>
          <w:szCs w:val="24"/>
        </w:rPr>
        <w:t>(</w:t>
      </w:r>
      <w:proofErr w:type="spellStart"/>
      <w:r w:rsidRPr="009F41DB">
        <w:rPr>
          <w:rFonts w:cs="Arial"/>
          <w:b/>
          <w:bCs/>
          <w:color w:val="2F5496" w:themeColor="accent1" w:themeShade="BF"/>
          <w:sz w:val="24"/>
          <w:szCs w:val="24"/>
        </w:rPr>
        <w:t>Pbl</w:t>
      </w:r>
      <w:proofErr w:type="spellEnd"/>
      <w:r w:rsidRPr="009F41DB">
        <w:rPr>
          <w:rFonts w:cs="Arial"/>
          <w:b/>
          <w:bCs/>
          <w:color w:val="2F5496" w:themeColor="accent1" w:themeShade="BF"/>
          <w:sz w:val="24"/>
          <w:szCs w:val="24"/>
        </w:rPr>
        <w:t>. § 11-9, pkt. 8)</w:t>
      </w:r>
    </w:p>
    <w:p w14:paraId="0C42A862" w14:textId="77777777" w:rsidR="00515CE6" w:rsidRPr="009F41DB" w:rsidRDefault="00515CE6" w:rsidP="00515CE6">
      <w:pPr>
        <w:autoSpaceDE w:val="0"/>
        <w:autoSpaceDN w:val="0"/>
        <w:adjustRightInd w:val="0"/>
        <w:spacing w:after="0" w:line="240" w:lineRule="auto"/>
        <w:rPr>
          <w:rFonts w:cs="Arial"/>
          <w:b/>
          <w:bCs/>
          <w:color w:val="FF0000"/>
        </w:rPr>
      </w:pPr>
      <w:r w:rsidRPr="009F41DB">
        <w:rPr>
          <w:rFonts w:cs="Arial"/>
          <w:b/>
          <w:bCs/>
          <w:color w:val="FF0000"/>
        </w:rPr>
        <w:t>2.3.7</w:t>
      </w:r>
      <w:r w:rsidRPr="009F41DB">
        <w:rPr>
          <w:rFonts w:cs="Arial"/>
          <w:b/>
          <w:bCs/>
          <w:color w:val="FF0000"/>
        </w:rPr>
        <w:tab/>
        <w:t>Sikker byggegrunn</w:t>
      </w:r>
    </w:p>
    <w:p w14:paraId="744276B0" w14:textId="77777777" w:rsidR="00515CE6" w:rsidRPr="00064E37" w:rsidRDefault="00515CE6" w:rsidP="00515CE6">
      <w:pPr>
        <w:autoSpaceDE w:val="0"/>
        <w:autoSpaceDN w:val="0"/>
        <w:adjustRightInd w:val="0"/>
        <w:spacing w:after="0" w:line="240" w:lineRule="auto"/>
        <w:ind w:left="705"/>
        <w:rPr>
          <w:rFonts w:cs="Arial"/>
          <w:bCs/>
          <w:color w:val="FF0000"/>
        </w:rPr>
      </w:pPr>
      <w:r w:rsidRPr="00064E37">
        <w:rPr>
          <w:rFonts w:cs="Arial"/>
          <w:bCs/>
          <w:color w:val="FF0000"/>
        </w:rPr>
        <w:t xml:space="preserve">I områder der det er påvist at grunnen synker, skal det ved regulering utføres nødvendige grunnundersøkelser for å dokumentere grunnforhold og lokalstabilitet. </w:t>
      </w:r>
    </w:p>
    <w:p w14:paraId="34D03BE5" w14:textId="77777777" w:rsidR="00515CE6" w:rsidRPr="00064E37" w:rsidRDefault="00515CE6" w:rsidP="00515CE6">
      <w:pPr>
        <w:autoSpaceDE w:val="0"/>
        <w:autoSpaceDN w:val="0"/>
        <w:adjustRightInd w:val="0"/>
        <w:spacing w:after="0" w:line="240" w:lineRule="auto"/>
        <w:ind w:left="705"/>
        <w:rPr>
          <w:rFonts w:cs="Arial"/>
          <w:bCs/>
          <w:color w:val="FF0000"/>
        </w:rPr>
      </w:pPr>
    </w:p>
    <w:p w14:paraId="339680B5" w14:textId="77777777" w:rsidR="00515CE6" w:rsidRPr="00064E37" w:rsidRDefault="00515CE6" w:rsidP="00515CE6">
      <w:pPr>
        <w:autoSpaceDE w:val="0"/>
        <w:autoSpaceDN w:val="0"/>
        <w:adjustRightInd w:val="0"/>
        <w:spacing w:after="0" w:line="240" w:lineRule="auto"/>
        <w:ind w:left="705"/>
        <w:rPr>
          <w:rFonts w:cs="Arial"/>
          <w:bCs/>
          <w:color w:val="FF0000"/>
        </w:rPr>
      </w:pPr>
      <w:r w:rsidRPr="00064E37">
        <w:rPr>
          <w:rFonts w:cs="Arial"/>
          <w:bCs/>
          <w:color w:val="FF0000"/>
        </w:rPr>
        <w:t xml:space="preserve">I reguleringsplanen skal </w:t>
      </w:r>
      <w:r>
        <w:rPr>
          <w:rFonts w:cs="Arial"/>
          <w:bCs/>
          <w:color w:val="FF0000"/>
        </w:rPr>
        <w:t xml:space="preserve">det gis rammer og bestemmelser som skal sikre at ikke </w:t>
      </w:r>
      <w:r w:rsidRPr="00064E37">
        <w:rPr>
          <w:rFonts w:cs="Arial"/>
          <w:bCs/>
          <w:color w:val="FF0000"/>
        </w:rPr>
        <w:t>infrastruktur og bygninger synker</w:t>
      </w:r>
      <w:r w:rsidR="00E64CEB">
        <w:rPr>
          <w:rFonts w:cs="Arial"/>
          <w:bCs/>
          <w:color w:val="FF0000"/>
        </w:rPr>
        <w:t xml:space="preserve">, </w:t>
      </w:r>
      <w:r>
        <w:rPr>
          <w:rFonts w:cs="Arial"/>
          <w:bCs/>
          <w:color w:val="FF0000"/>
        </w:rPr>
        <w:t>at det ikke oppstår</w:t>
      </w:r>
      <w:r w:rsidRPr="00064E37">
        <w:rPr>
          <w:rFonts w:cs="Arial"/>
          <w:bCs/>
          <w:color w:val="FF0000"/>
        </w:rPr>
        <w:t xml:space="preserve"> setningsskader</w:t>
      </w:r>
      <w:r w:rsidR="00F87679">
        <w:rPr>
          <w:rFonts w:cs="Arial"/>
          <w:bCs/>
          <w:color w:val="FF0000"/>
        </w:rPr>
        <w:t xml:space="preserve"> </w:t>
      </w:r>
      <w:r w:rsidR="00F87679" w:rsidRPr="00F87679">
        <w:rPr>
          <w:rFonts w:cs="Arial"/>
          <w:bCs/>
          <w:color w:val="FF0000"/>
        </w:rPr>
        <w:t>eller at det oppstår andre ulemper og skader som følge av synkende byggegrunn</w:t>
      </w:r>
      <w:r w:rsidRPr="00064E37">
        <w:rPr>
          <w:rFonts w:cs="Arial"/>
          <w:bCs/>
          <w:color w:val="FF0000"/>
        </w:rPr>
        <w:t>.</w:t>
      </w:r>
    </w:p>
    <w:p w14:paraId="2FD4624B" w14:textId="77777777" w:rsidR="00515CE6" w:rsidRDefault="00515CE6" w:rsidP="00515CE6">
      <w:pPr>
        <w:spacing w:after="0"/>
        <w:rPr>
          <w:rFonts w:cs="Arial"/>
          <w:b/>
          <w:bCs/>
          <w:sz w:val="24"/>
          <w:szCs w:val="24"/>
        </w:rPr>
      </w:pPr>
    </w:p>
    <w:p w14:paraId="01CB961D" w14:textId="77777777" w:rsidR="00515CE6" w:rsidRDefault="00515CE6" w:rsidP="00515CE6">
      <w:pPr>
        <w:spacing w:after="0"/>
        <w:ind w:left="708" w:hanging="708"/>
        <w:rPr>
          <w:rFonts w:cs="Arial"/>
          <w:b/>
          <w:color w:val="1F3864" w:themeColor="accent1" w:themeShade="80"/>
          <w:sz w:val="28"/>
          <w:szCs w:val="28"/>
        </w:rPr>
      </w:pPr>
    </w:p>
    <w:p w14:paraId="7A4A9938" w14:textId="77777777" w:rsidR="009F41DB" w:rsidRDefault="009F41DB">
      <w:pPr>
        <w:spacing w:after="160" w:line="259" w:lineRule="auto"/>
        <w:rPr>
          <w:b/>
          <w:color w:val="2F5496" w:themeColor="accent1" w:themeShade="BF"/>
          <w:sz w:val="24"/>
          <w:szCs w:val="24"/>
        </w:rPr>
      </w:pPr>
      <w:r>
        <w:rPr>
          <w:b/>
          <w:color w:val="2F5496" w:themeColor="accent1" w:themeShade="BF"/>
          <w:sz w:val="24"/>
          <w:szCs w:val="24"/>
        </w:rPr>
        <w:br w:type="page"/>
      </w:r>
    </w:p>
    <w:p w14:paraId="1AE4EC83" w14:textId="77777777" w:rsidR="00515CE6" w:rsidRPr="009F41DB" w:rsidRDefault="00515CE6" w:rsidP="009F41DB">
      <w:pPr>
        <w:spacing w:after="160" w:line="259" w:lineRule="auto"/>
        <w:ind w:left="705" w:hanging="705"/>
        <w:rPr>
          <w:b/>
          <w:color w:val="2F5496" w:themeColor="accent1" w:themeShade="BF"/>
          <w:sz w:val="24"/>
          <w:szCs w:val="24"/>
        </w:rPr>
      </w:pPr>
      <w:r w:rsidRPr="009F41DB">
        <w:rPr>
          <w:b/>
          <w:color w:val="2F5496" w:themeColor="accent1" w:themeShade="BF"/>
          <w:sz w:val="24"/>
          <w:szCs w:val="24"/>
        </w:rPr>
        <w:lastRenderedPageBreak/>
        <w:t>§ 10.1</w:t>
      </w:r>
      <w:r w:rsidRPr="009F41DB">
        <w:rPr>
          <w:b/>
          <w:color w:val="2F5496" w:themeColor="accent1" w:themeShade="BF"/>
          <w:sz w:val="24"/>
          <w:szCs w:val="24"/>
        </w:rPr>
        <w:tab/>
        <w:t xml:space="preserve"> Bestemmelser for hensynssoner for sikrings-, støy- og faresoner (</w:t>
      </w:r>
      <w:proofErr w:type="spellStart"/>
      <w:r w:rsidRPr="009F41DB">
        <w:rPr>
          <w:b/>
          <w:color w:val="2F5496" w:themeColor="accent1" w:themeShade="BF"/>
          <w:sz w:val="24"/>
          <w:szCs w:val="24"/>
        </w:rPr>
        <w:t>Pbl</w:t>
      </w:r>
      <w:proofErr w:type="spellEnd"/>
      <w:r w:rsidRPr="009F41DB">
        <w:rPr>
          <w:b/>
          <w:color w:val="2F5496" w:themeColor="accent1" w:themeShade="BF"/>
          <w:sz w:val="24"/>
          <w:szCs w:val="24"/>
        </w:rPr>
        <w:t xml:space="preserve">. </w:t>
      </w:r>
      <w:proofErr w:type="gramStart"/>
      <w:r w:rsidRPr="009F41DB">
        <w:rPr>
          <w:b/>
          <w:color w:val="2F5496" w:themeColor="accent1" w:themeShade="BF"/>
          <w:sz w:val="24"/>
          <w:szCs w:val="24"/>
        </w:rPr>
        <w:t>§  11</w:t>
      </w:r>
      <w:proofErr w:type="gramEnd"/>
      <w:r w:rsidRPr="009F41DB">
        <w:rPr>
          <w:b/>
          <w:color w:val="2F5496" w:themeColor="accent1" w:themeShade="BF"/>
          <w:sz w:val="24"/>
          <w:szCs w:val="24"/>
        </w:rPr>
        <w:t>-8, bokstav a)</w:t>
      </w:r>
    </w:p>
    <w:p w14:paraId="5B522F09" w14:textId="77777777" w:rsidR="00515CE6" w:rsidRDefault="00515CE6" w:rsidP="00515CE6">
      <w:pPr>
        <w:spacing w:after="0"/>
        <w:rPr>
          <w:rFonts w:cs="Arial"/>
          <w:b/>
          <w:bCs/>
          <w:sz w:val="24"/>
          <w:szCs w:val="24"/>
        </w:rPr>
      </w:pPr>
    </w:p>
    <w:p w14:paraId="7AE3571D" w14:textId="77777777" w:rsidR="00515CE6" w:rsidRPr="007727B3" w:rsidRDefault="00515CE6" w:rsidP="00515CE6">
      <w:pPr>
        <w:spacing w:after="0"/>
        <w:rPr>
          <w:rFonts w:cs="Arial"/>
          <w:b/>
          <w:bCs/>
          <w:sz w:val="24"/>
          <w:szCs w:val="24"/>
        </w:rPr>
      </w:pPr>
      <w:r w:rsidRPr="007727B3">
        <w:rPr>
          <w:rFonts w:cs="Arial"/>
          <w:b/>
          <w:bCs/>
          <w:sz w:val="24"/>
          <w:szCs w:val="24"/>
        </w:rPr>
        <w:t>10.1.3</w:t>
      </w:r>
      <w:r w:rsidRPr="007727B3">
        <w:rPr>
          <w:rFonts w:cs="Arial"/>
          <w:b/>
          <w:bCs/>
          <w:sz w:val="24"/>
          <w:szCs w:val="24"/>
        </w:rPr>
        <w:tab/>
        <w:t>Faresoner – Flomfare (H320_1 og H320_2)</w:t>
      </w:r>
    </w:p>
    <w:p w14:paraId="7E91F47C" w14:textId="77777777" w:rsidR="00515CE6" w:rsidRPr="007727B3" w:rsidRDefault="00515CE6" w:rsidP="00515CE6">
      <w:pPr>
        <w:pStyle w:val="Listeavsnitt"/>
        <w:spacing w:after="0"/>
      </w:pPr>
      <w:r w:rsidRPr="007727B3">
        <w:t>Innenfor fareområdet H320_1 er det ikke tillatt med bebyggelse eller tiltak og installasjoner som kan skades av flom.</w:t>
      </w:r>
    </w:p>
    <w:p w14:paraId="405D2A1D" w14:textId="77777777" w:rsidR="00515CE6" w:rsidRPr="007727B3" w:rsidRDefault="00515CE6" w:rsidP="00515CE6">
      <w:pPr>
        <w:pStyle w:val="Listeavsnitt"/>
        <w:spacing w:after="0"/>
      </w:pPr>
    </w:p>
    <w:p w14:paraId="5125781F" w14:textId="77777777" w:rsidR="00515CE6" w:rsidRDefault="00515CE6" w:rsidP="00515CE6">
      <w:pPr>
        <w:pStyle w:val="Listeavsnitt"/>
        <w:spacing w:after="0"/>
      </w:pPr>
      <w:r w:rsidRPr="007727B3">
        <w:t xml:space="preserve">Innenfor fareområdet H320_2 er det ikke tillatt med tiltak før det kan dokumenteres tilstrekkelig sikkerhet mot flom jf. sikkerhetskrav gitt i </w:t>
      </w:r>
      <w:proofErr w:type="spellStart"/>
      <w:r w:rsidRPr="007727B3">
        <w:t>byggteknisk</w:t>
      </w:r>
      <w:proofErr w:type="spellEnd"/>
      <w:r w:rsidRPr="007727B3">
        <w:t xml:space="preserve"> forskrift.</w:t>
      </w:r>
    </w:p>
    <w:p w14:paraId="257E1215" w14:textId="77777777" w:rsidR="00515CE6" w:rsidRDefault="00515CE6" w:rsidP="00515CE6">
      <w:pPr>
        <w:pStyle w:val="Listeavsnitt"/>
        <w:spacing w:after="0"/>
      </w:pPr>
    </w:p>
    <w:p w14:paraId="70887AC8" w14:textId="77777777" w:rsidR="00515CE6" w:rsidRPr="009002D9" w:rsidRDefault="00515CE6" w:rsidP="00515CE6">
      <w:pPr>
        <w:autoSpaceDE w:val="0"/>
        <w:autoSpaceDN w:val="0"/>
        <w:adjustRightInd w:val="0"/>
        <w:spacing w:after="0" w:line="240" w:lineRule="auto"/>
        <w:ind w:left="705"/>
        <w:rPr>
          <w:rFonts w:cs="Arial"/>
          <w:bCs/>
          <w:color w:val="FF0000"/>
        </w:rPr>
      </w:pPr>
      <w:r w:rsidRPr="00064E37">
        <w:rPr>
          <w:rFonts w:cs="Arial"/>
          <w:bCs/>
          <w:color w:val="FF0000"/>
        </w:rPr>
        <w:t xml:space="preserve">I områder der det er påvist at grunnen synker, skal det utføres nødvendige grunnundersøkelser for å dokumentere grunnforhold og lokalstabilitet. </w:t>
      </w:r>
      <w:r>
        <w:rPr>
          <w:rFonts w:cs="Arial"/>
          <w:bCs/>
          <w:color w:val="FF0000"/>
        </w:rPr>
        <w:t xml:space="preserve">Det skal sikres at ikke </w:t>
      </w:r>
      <w:r w:rsidRPr="00064E37">
        <w:rPr>
          <w:rFonts w:cs="Arial"/>
          <w:bCs/>
          <w:color w:val="FF0000"/>
        </w:rPr>
        <w:t>infrastruktur og bygninger synker</w:t>
      </w:r>
      <w:r>
        <w:rPr>
          <w:rFonts w:cs="Arial"/>
          <w:bCs/>
          <w:color w:val="FF0000"/>
        </w:rPr>
        <w:t xml:space="preserve"> og at det ikke oppstår</w:t>
      </w:r>
      <w:r w:rsidRPr="00064E37">
        <w:rPr>
          <w:rFonts w:cs="Arial"/>
          <w:bCs/>
          <w:color w:val="FF0000"/>
        </w:rPr>
        <w:t xml:space="preserve"> setningsskader</w:t>
      </w:r>
      <w:r w:rsidR="00BE02EF">
        <w:rPr>
          <w:rFonts w:cs="Arial"/>
          <w:bCs/>
          <w:color w:val="FF0000"/>
        </w:rPr>
        <w:t>,</w:t>
      </w:r>
      <w:bookmarkStart w:id="0" w:name="_Hlk64012804"/>
      <w:r w:rsidR="00BE02EF">
        <w:rPr>
          <w:rFonts w:cs="Arial"/>
          <w:bCs/>
          <w:color w:val="FF0000"/>
        </w:rPr>
        <w:t xml:space="preserve"> jf. også TEK17 § 7-1.</w:t>
      </w:r>
      <w:bookmarkEnd w:id="0"/>
    </w:p>
    <w:p w14:paraId="3EDB2B9D" w14:textId="77777777" w:rsidR="00AE7685" w:rsidRDefault="00AE7685"/>
    <w:p w14:paraId="792501AB" w14:textId="77777777" w:rsidR="009F41DB" w:rsidRDefault="009F41DB">
      <w:pPr>
        <w:rPr>
          <w:b/>
          <w:bCs/>
          <w:sz w:val="24"/>
          <w:szCs w:val="24"/>
        </w:rPr>
      </w:pPr>
    </w:p>
    <w:p w14:paraId="1BBE02F2" w14:textId="77777777" w:rsidR="00515CE6" w:rsidRPr="00515CE6" w:rsidRDefault="00515CE6">
      <w:pPr>
        <w:rPr>
          <w:b/>
          <w:bCs/>
          <w:sz w:val="24"/>
          <w:szCs w:val="24"/>
        </w:rPr>
      </w:pPr>
      <w:r w:rsidRPr="00515CE6">
        <w:rPr>
          <w:b/>
          <w:bCs/>
          <w:sz w:val="24"/>
          <w:szCs w:val="24"/>
        </w:rPr>
        <w:t>Kommentar</w:t>
      </w:r>
      <w:r w:rsidR="009F41DB">
        <w:rPr>
          <w:b/>
          <w:bCs/>
          <w:sz w:val="24"/>
          <w:szCs w:val="24"/>
        </w:rPr>
        <w:t>er</w:t>
      </w:r>
      <w:r w:rsidRPr="00515CE6">
        <w:rPr>
          <w:b/>
          <w:bCs/>
          <w:sz w:val="24"/>
          <w:szCs w:val="24"/>
        </w:rPr>
        <w:t xml:space="preserve"> og vurdering</w:t>
      </w:r>
    </w:p>
    <w:p w14:paraId="6383C146" w14:textId="77777777" w:rsidR="00BE02EF" w:rsidRDefault="00515CE6">
      <w:r>
        <w:t xml:space="preserve">Det var også forslag </w:t>
      </w:r>
      <w:r w:rsidR="00BE02EF">
        <w:t xml:space="preserve">fra styringsgruppa </w:t>
      </w:r>
      <w:r>
        <w:t xml:space="preserve">om å ta inn en tilsvarende bestemmelse i § 6.2.1. </w:t>
      </w:r>
    </w:p>
    <w:p w14:paraId="509A7F95" w14:textId="77777777" w:rsidR="00515CE6" w:rsidRDefault="00515CE6">
      <w:r>
        <w:t xml:space="preserve">Kapittel 6 gir generelle bestemmelser (uavhengig av arealformål) om klimatilpasning, miljøkvalitet og samfunnssikkerhet. </w:t>
      </w:r>
    </w:p>
    <w:p w14:paraId="521D5936" w14:textId="77777777" w:rsidR="00137B38" w:rsidRDefault="00137B38">
      <w:r>
        <w:t xml:space="preserve">Administrasjonen kan ikke se at det er hjemmel i </w:t>
      </w:r>
      <w:proofErr w:type="spellStart"/>
      <w:r>
        <w:t>pbl</w:t>
      </w:r>
      <w:proofErr w:type="spellEnd"/>
      <w:r>
        <w:t>. § 11-9 (</w:t>
      </w:r>
      <w:r w:rsidRPr="00415873">
        <w:rPr>
          <w:i/>
          <w:iCs/>
        </w:rPr>
        <w:t>Generelle bestemmelser til kommuneplanens arealdel</w:t>
      </w:r>
      <w:r>
        <w:t xml:space="preserve">) for å </w:t>
      </w:r>
      <w:r w:rsidR="00BE02EF">
        <w:t xml:space="preserve">kunne </w:t>
      </w:r>
      <w:r>
        <w:t>gi en</w:t>
      </w:r>
      <w:r w:rsidR="00415873">
        <w:t xml:space="preserve"> generell</w:t>
      </w:r>
      <w:r>
        <w:t xml:space="preserve"> bestemmelse som gjelder krav til det </w:t>
      </w:r>
      <w:r w:rsidRPr="00BE02EF">
        <w:rPr>
          <w:u w:val="single"/>
        </w:rPr>
        <w:t>enkelte</w:t>
      </w:r>
      <w:r>
        <w:t xml:space="preserve"> tiltak i regulerte eller uregulerte områder. Derimot mener vi at det </w:t>
      </w:r>
      <w:r w:rsidRPr="00137B38">
        <w:rPr>
          <w:i/>
          <w:iCs/>
        </w:rPr>
        <w:t>kan</w:t>
      </w:r>
      <w:r>
        <w:t xml:space="preserve"> være hjemmel til å sette denne type bestemmelser i tilknytning til utarbeidelse av reguleringsplaner, jf. </w:t>
      </w:r>
      <w:proofErr w:type="spellStart"/>
      <w:r w:rsidR="00BE02EF">
        <w:t>pbl</w:t>
      </w:r>
      <w:proofErr w:type="spellEnd"/>
      <w:r w:rsidR="00BE02EF">
        <w:t xml:space="preserve">. § 11-9, pkt. 8, jf. også </w:t>
      </w:r>
      <w:r>
        <w:t>forslag til bestemmelse i § 2.3.7.</w:t>
      </w:r>
    </w:p>
    <w:p w14:paraId="4AF43D8A" w14:textId="77777777" w:rsidR="00137B38" w:rsidRDefault="00137B38">
      <w:r>
        <w:t>Vi anser også at det er hjemmel for å ta inn en bestemmelse</w:t>
      </w:r>
      <w:r w:rsidR="00BE02EF">
        <w:t xml:space="preserve"> om sikker byggegrunn</w:t>
      </w:r>
      <w:r>
        <w:t xml:space="preserve"> knyttet til oppføring av nye bygninger og </w:t>
      </w:r>
      <w:r w:rsidR="00BE02EF">
        <w:t>ny infrastruktur i områder der det er hensynssone «faresone – flomfare».</w:t>
      </w:r>
      <w:r w:rsidR="00415873">
        <w:t xml:space="preserve"> Denne bestemmelsen vil også gjelde enkelttiltak.</w:t>
      </w:r>
    </w:p>
    <w:p w14:paraId="16E9B791" w14:textId="77777777" w:rsidR="00BE02EF" w:rsidRDefault="00BE02EF">
      <w:r>
        <w:t xml:space="preserve">For det enkelte byggetiltak vil </w:t>
      </w:r>
      <w:proofErr w:type="spellStart"/>
      <w:r>
        <w:t>byggteknisk</w:t>
      </w:r>
      <w:proofErr w:type="spellEnd"/>
      <w:r>
        <w:t xml:space="preserve"> forskrift (TEK17) uansett stille krav til sikkerhet mot naturpåkjenninger, jf. kap. 7. For øvrig vil større byggeprosjekter i områder med synkende grunn utløse plankrav, slik at de foreslåtte bestemmelsene i kommuneplanens § 2.3. om utredningskrav vil gjelde.</w:t>
      </w:r>
    </w:p>
    <w:p w14:paraId="1F3406C0" w14:textId="77777777" w:rsidR="00137B38" w:rsidRDefault="00137B38"/>
    <w:p w14:paraId="29F3BBC2" w14:textId="77777777" w:rsidR="00BA7203" w:rsidRDefault="00BA7203">
      <w:pPr>
        <w:spacing w:after="160" w:line="259" w:lineRule="auto"/>
        <w:rPr>
          <w:rFonts w:cs="Arial"/>
          <w:b/>
          <w:bCs/>
          <w:color w:val="2F5496" w:themeColor="accent1" w:themeShade="BF"/>
          <w:sz w:val="28"/>
          <w:szCs w:val="28"/>
        </w:rPr>
      </w:pPr>
      <w:r>
        <w:rPr>
          <w:rFonts w:cs="Arial"/>
          <w:b/>
          <w:bCs/>
          <w:color w:val="2F5496" w:themeColor="accent1" w:themeShade="BF"/>
          <w:sz w:val="28"/>
          <w:szCs w:val="28"/>
        </w:rPr>
        <w:br w:type="page"/>
      </w:r>
    </w:p>
    <w:p w14:paraId="0676CA50" w14:textId="77777777" w:rsidR="00C005F7" w:rsidRPr="00C005F7" w:rsidRDefault="00C005F7" w:rsidP="00C005F7">
      <w:pPr>
        <w:spacing w:after="0"/>
        <w:rPr>
          <w:rFonts w:cs="Arial"/>
          <w:b/>
          <w:bCs/>
          <w:color w:val="2F5496" w:themeColor="accent1" w:themeShade="BF"/>
          <w:sz w:val="28"/>
          <w:szCs w:val="28"/>
        </w:rPr>
      </w:pPr>
      <w:r>
        <w:rPr>
          <w:rFonts w:cs="Arial"/>
          <w:b/>
          <w:bCs/>
          <w:color w:val="2F5496" w:themeColor="accent1" w:themeShade="BF"/>
          <w:sz w:val="28"/>
          <w:szCs w:val="28"/>
        </w:rPr>
        <w:lastRenderedPageBreak/>
        <w:t>Andre endringer i b</w:t>
      </w:r>
      <w:r w:rsidRPr="00C005F7">
        <w:rPr>
          <w:rFonts w:cs="Arial"/>
          <w:b/>
          <w:bCs/>
          <w:color w:val="2F5496" w:themeColor="accent1" w:themeShade="BF"/>
          <w:sz w:val="28"/>
          <w:szCs w:val="28"/>
        </w:rPr>
        <w:t>estemmelse</w:t>
      </w:r>
      <w:r>
        <w:rPr>
          <w:rFonts w:cs="Arial"/>
          <w:b/>
          <w:bCs/>
          <w:color w:val="2F5496" w:themeColor="accent1" w:themeShade="BF"/>
          <w:sz w:val="28"/>
          <w:szCs w:val="28"/>
        </w:rPr>
        <w:t>ne</w:t>
      </w:r>
    </w:p>
    <w:p w14:paraId="163C0175" w14:textId="77777777" w:rsidR="00C005F7" w:rsidRDefault="00C005F7"/>
    <w:p w14:paraId="1710A74B" w14:textId="77777777" w:rsidR="00C005F7" w:rsidRPr="00C005F7" w:rsidRDefault="00C005F7" w:rsidP="00C005F7">
      <w:pPr>
        <w:spacing w:after="160" w:line="259" w:lineRule="auto"/>
        <w:ind w:left="705" w:hanging="705"/>
        <w:rPr>
          <w:b/>
          <w:color w:val="2F5496" w:themeColor="accent1" w:themeShade="BF"/>
          <w:sz w:val="24"/>
          <w:szCs w:val="24"/>
        </w:rPr>
      </w:pPr>
      <w:r w:rsidRPr="00C005F7">
        <w:rPr>
          <w:b/>
          <w:color w:val="2F5496" w:themeColor="accent1" w:themeShade="BF"/>
          <w:sz w:val="24"/>
          <w:szCs w:val="24"/>
        </w:rPr>
        <w:t xml:space="preserve">§ </w:t>
      </w:r>
      <w:proofErr w:type="gramStart"/>
      <w:r w:rsidRPr="00C005F7">
        <w:rPr>
          <w:b/>
          <w:color w:val="2F5496" w:themeColor="accent1" w:themeShade="BF"/>
          <w:sz w:val="24"/>
          <w:szCs w:val="24"/>
        </w:rPr>
        <w:t xml:space="preserve">2.1  </w:t>
      </w:r>
      <w:bookmarkStart w:id="1" w:name="_Hlk46905234"/>
      <w:r w:rsidRPr="00C005F7">
        <w:rPr>
          <w:b/>
          <w:color w:val="2F5496" w:themeColor="accent1" w:themeShade="BF"/>
          <w:sz w:val="24"/>
          <w:szCs w:val="24"/>
        </w:rPr>
        <w:t>Rettsvirkningen</w:t>
      </w:r>
      <w:proofErr w:type="gramEnd"/>
      <w:r w:rsidRPr="00C005F7">
        <w:rPr>
          <w:b/>
          <w:color w:val="2F5496" w:themeColor="accent1" w:themeShade="BF"/>
          <w:sz w:val="24"/>
          <w:szCs w:val="24"/>
        </w:rPr>
        <w:t xml:space="preserve"> av kommuneplanens arealdel</w:t>
      </w:r>
      <w:bookmarkEnd w:id="1"/>
      <w:r w:rsidRPr="00C005F7">
        <w:rPr>
          <w:b/>
          <w:color w:val="2F5496" w:themeColor="accent1" w:themeShade="BF"/>
          <w:sz w:val="24"/>
          <w:szCs w:val="24"/>
        </w:rPr>
        <w:t xml:space="preserve"> (</w:t>
      </w:r>
      <w:proofErr w:type="spellStart"/>
      <w:r w:rsidRPr="00C005F7">
        <w:rPr>
          <w:b/>
          <w:color w:val="2F5496" w:themeColor="accent1" w:themeShade="BF"/>
          <w:sz w:val="24"/>
          <w:szCs w:val="24"/>
        </w:rPr>
        <w:t>Pbl</w:t>
      </w:r>
      <w:proofErr w:type="spellEnd"/>
      <w:r w:rsidRPr="00C005F7">
        <w:rPr>
          <w:b/>
          <w:color w:val="2F5496" w:themeColor="accent1" w:themeShade="BF"/>
          <w:sz w:val="24"/>
          <w:szCs w:val="24"/>
        </w:rPr>
        <w:t>. § 11-6)</w:t>
      </w:r>
    </w:p>
    <w:p w14:paraId="74EEAE27" w14:textId="77777777" w:rsidR="00C005F7" w:rsidRDefault="00C005F7" w:rsidP="00C005F7">
      <w:pPr>
        <w:spacing w:after="0"/>
        <w:ind w:left="705" w:hanging="705"/>
        <w:rPr>
          <w:rFonts w:cs="Arial"/>
          <w:bCs/>
        </w:rPr>
      </w:pPr>
      <w:r w:rsidRPr="00790E61">
        <w:rPr>
          <w:rFonts w:cs="Arial"/>
          <w:b/>
          <w:sz w:val="24"/>
          <w:szCs w:val="24"/>
        </w:rPr>
        <w:t>2.1.2</w:t>
      </w:r>
      <w:r>
        <w:rPr>
          <w:rFonts w:cs="Arial"/>
        </w:rPr>
        <w:tab/>
      </w:r>
      <w:r w:rsidRPr="004A025A">
        <w:rPr>
          <w:rFonts w:cs="Arial"/>
          <w:bCs/>
        </w:rPr>
        <w:t>Kommunedelplan for sentrum vedtatt 9.3.2017 gjelder foran kommuneplanen, men kommuneplanen utfyller sentrumsplanen på punkter der sentrumsplanen er taus.</w:t>
      </w:r>
    </w:p>
    <w:p w14:paraId="039BFA12" w14:textId="77777777" w:rsidR="00C005F7" w:rsidRPr="00C32B1E" w:rsidRDefault="00C005F7" w:rsidP="00C005F7">
      <w:pPr>
        <w:spacing w:after="0"/>
        <w:ind w:left="705"/>
      </w:pPr>
      <w:r w:rsidRPr="00C32B1E">
        <w:rPr>
          <w:rFonts w:cs="Arial"/>
          <w:b/>
          <w:sz w:val="24"/>
          <w:szCs w:val="24"/>
        </w:rPr>
        <w:tab/>
      </w:r>
      <w:r w:rsidRPr="00C32B1E">
        <w:t>Følgende unntak gjelder:</w:t>
      </w:r>
    </w:p>
    <w:p w14:paraId="11D5273C" w14:textId="77777777" w:rsidR="00C005F7" w:rsidRPr="00C32B1E" w:rsidRDefault="00C005F7" w:rsidP="00C005F7">
      <w:pPr>
        <w:pStyle w:val="Listeavsnitt"/>
        <w:numPr>
          <w:ilvl w:val="0"/>
          <w:numId w:val="1"/>
        </w:numPr>
        <w:spacing w:after="0"/>
        <w:rPr>
          <w:rFonts w:cs="Arial"/>
        </w:rPr>
      </w:pPr>
      <w:r w:rsidRPr="00C32B1E">
        <w:rPr>
          <w:rFonts w:cs="Arial"/>
        </w:rPr>
        <w:t xml:space="preserve">Kommuneplanens bestemmelse i § 6.2.1 om laveste tillatte </w:t>
      </w:r>
      <w:proofErr w:type="spellStart"/>
      <w:r w:rsidRPr="00C32B1E">
        <w:rPr>
          <w:rFonts w:cs="Arial"/>
        </w:rPr>
        <w:t>kotehøyde</w:t>
      </w:r>
      <w:proofErr w:type="spellEnd"/>
      <w:r w:rsidRPr="00C32B1E">
        <w:rPr>
          <w:rFonts w:cs="Arial"/>
        </w:rPr>
        <w:t xml:space="preserve"> for ferdig gulv gjelder foran sentrumsplanen § 2.13, siste ledd.</w:t>
      </w:r>
    </w:p>
    <w:p w14:paraId="394EE018" w14:textId="77777777" w:rsidR="00C005F7" w:rsidRPr="00C32B1E" w:rsidRDefault="00C005F7" w:rsidP="00C005F7">
      <w:pPr>
        <w:spacing w:after="0"/>
        <w:rPr>
          <w:rFonts w:cs="Arial"/>
        </w:rPr>
      </w:pPr>
    </w:p>
    <w:p w14:paraId="21F7D482" w14:textId="77777777" w:rsidR="00C005F7" w:rsidRPr="00C32B1E" w:rsidRDefault="00C005F7" w:rsidP="00C005F7">
      <w:pPr>
        <w:spacing w:after="0" w:line="240" w:lineRule="auto"/>
        <w:ind w:firstLine="705"/>
      </w:pPr>
      <w:r w:rsidRPr="00080117">
        <w:rPr>
          <w:rFonts w:cs="Arial"/>
        </w:rPr>
        <w:t xml:space="preserve">Reguleringsplaner som skal gjelde foran kommuneplanen er listet opp i vedlegg 1. </w:t>
      </w:r>
    </w:p>
    <w:p w14:paraId="3BA04642" w14:textId="77777777" w:rsidR="00C005F7" w:rsidRPr="00C32B1E" w:rsidRDefault="00C005F7" w:rsidP="00C005F7">
      <w:pPr>
        <w:spacing w:after="0"/>
        <w:ind w:left="705"/>
      </w:pPr>
      <w:r w:rsidRPr="00C32B1E">
        <w:rPr>
          <w:lang w:eastAsia="nb-NO"/>
        </w:rPr>
        <w:t>Disse</w:t>
      </w:r>
      <w:r w:rsidRPr="00C32B1E">
        <w:rPr>
          <w:b/>
          <w:bCs/>
          <w:lang w:eastAsia="nb-NO"/>
        </w:rPr>
        <w:t xml:space="preserve"> </w:t>
      </w:r>
      <w:r w:rsidRPr="00C32B1E">
        <w:rPr>
          <w:lang w:eastAsia="nb-NO"/>
        </w:rPr>
        <w:t>r</w:t>
      </w:r>
      <w:r w:rsidRPr="00C32B1E">
        <w:t xml:space="preserve">eguleringsplanene gjelder foran kommuneplanen, men kommuneplanen utfyller planer på punkter der reguleringsplanen er taus. </w:t>
      </w:r>
    </w:p>
    <w:p w14:paraId="0EB43350" w14:textId="77777777" w:rsidR="00C005F7" w:rsidRPr="00C32B1E" w:rsidRDefault="00C005F7" w:rsidP="00C005F7">
      <w:pPr>
        <w:spacing w:after="0"/>
        <w:ind w:left="705"/>
        <w:rPr>
          <w:rFonts w:cs="Arial"/>
        </w:rPr>
      </w:pPr>
      <w:r w:rsidRPr="00C32B1E">
        <w:t>Følgende unntak og presiseringer gjelder:</w:t>
      </w:r>
    </w:p>
    <w:p w14:paraId="322135AB" w14:textId="77777777" w:rsidR="00C005F7" w:rsidRPr="009D7828" w:rsidRDefault="00C005F7" w:rsidP="00C005F7">
      <w:pPr>
        <w:pStyle w:val="Listeavsnitt"/>
        <w:numPr>
          <w:ilvl w:val="0"/>
          <w:numId w:val="1"/>
        </w:numPr>
        <w:spacing w:after="0"/>
        <w:rPr>
          <w:rFonts w:eastAsia="Times New Roman"/>
        </w:rPr>
      </w:pPr>
      <w:r w:rsidRPr="00C32B1E">
        <w:rPr>
          <w:rFonts w:cs="Arial"/>
        </w:rPr>
        <w:t>Byggegrense mot sjø og vassdrag som framgår av kommuneplanens arealkart</w:t>
      </w:r>
      <w:r>
        <w:rPr>
          <w:rFonts w:cs="Arial"/>
        </w:rPr>
        <w:t xml:space="preserve"> gjelder.</w:t>
      </w:r>
      <w:r w:rsidRPr="00C32B1E">
        <w:rPr>
          <w:rFonts w:cs="Arial"/>
        </w:rPr>
        <w:t xml:space="preserve"> </w:t>
      </w:r>
      <w:r w:rsidRPr="009D7828">
        <w:rPr>
          <w:rFonts w:eastAsia="Times New Roman"/>
          <w:highlight w:val="yellow"/>
        </w:rPr>
        <w:t>Kommuneplanens byggegrense mot sjø og vassdrag gjelder også i tilfeller der byggegrense framgår av reguleringsplanen, jf. § 8.1.1.</w:t>
      </w:r>
    </w:p>
    <w:p w14:paraId="3F149E0A" w14:textId="77777777" w:rsidR="00C005F7" w:rsidRPr="00C32B1E" w:rsidRDefault="00C005F7" w:rsidP="00C005F7">
      <w:pPr>
        <w:pStyle w:val="Listeavsnitt"/>
        <w:numPr>
          <w:ilvl w:val="0"/>
          <w:numId w:val="1"/>
        </w:numPr>
        <w:spacing w:after="0"/>
        <w:rPr>
          <w:rFonts w:cs="Arial"/>
        </w:rPr>
      </w:pPr>
      <w:r w:rsidRPr="00C32B1E">
        <w:rPr>
          <w:rFonts w:cs="Arial"/>
        </w:rPr>
        <w:t>Rekkefølgekravet i § 2.4 gjelder.</w:t>
      </w:r>
    </w:p>
    <w:p w14:paraId="14FFB2F6" w14:textId="77777777" w:rsidR="00C005F7" w:rsidRPr="00B51E2D" w:rsidRDefault="00C005F7" w:rsidP="00C005F7">
      <w:pPr>
        <w:spacing w:after="0"/>
        <w:ind w:left="705"/>
        <w:rPr>
          <w:rFonts w:cs="Arial"/>
          <w:bCs/>
          <w:color w:val="FF0000"/>
        </w:rPr>
      </w:pPr>
    </w:p>
    <w:p w14:paraId="30814C3A" w14:textId="77777777" w:rsidR="00C005F7" w:rsidRPr="004A025A" w:rsidRDefault="00C005F7" w:rsidP="00C005F7">
      <w:pPr>
        <w:autoSpaceDE w:val="0"/>
        <w:autoSpaceDN w:val="0"/>
        <w:adjustRightInd w:val="0"/>
        <w:spacing w:after="0" w:line="240" w:lineRule="auto"/>
        <w:ind w:left="705"/>
        <w:rPr>
          <w:rFonts w:cs="Arial"/>
          <w:bCs/>
        </w:rPr>
      </w:pPr>
      <w:r>
        <w:t>Kommuneplanens bestemmelser og retningslinjer skal i tillegg supplere gjeldende reguleringsplaner der disse ikke selv angir noe annet.</w:t>
      </w:r>
    </w:p>
    <w:p w14:paraId="6B562422" w14:textId="77777777" w:rsidR="00C005F7" w:rsidRDefault="00C005F7" w:rsidP="00C005F7">
      <w:pPr>
        <w:spacing w:after="0"/>
        <w:ind w:left="705"/>
        <w:rPr>
          <w:rFonts w:cs="Arial"/>
          <w:bCs/>
        </w:rPr>
      </w:pPr>
    </w:p>
    <w:p w14:paraId="62B52F1A" w14:textId="77777777" w:rsidR="00C005F7" w:rsidRDefault="00C005F7" w:rsidP="00C005F7">
      <w:pPr>
        <w:spacing w:after="0"/>
        <w:ind w:left="705"/>
        <w:rPr>
          <w:rFonts w:cs="Arial"/>
        </w:rPr>
      </w:pPr>
      <w:r w:rsidRPr="004A025A">
        <w:rPr>
          <w:rFonts w:cs="Arial"/>
          <w:bCs/>
        </w:rPr>
        <w:t>For eldre reguleringsplaner</w:t>
      </w:r>
      <w:r>
        <w:rPr>
          <w:rFonts w:cs="Arial"/>
          <w:bCs/>
        </w:rPr>
        <w:t>,</w:t>
      </w:r>
      <w:r w:rsidRPr="004A025A">
        <w:rPr>
          <w:rFonts w:cs="Arial"/>
          <w:bCs/>
        </w:rPr>
        <w:t xml:space="preserve"> som ikke er listet opp i vedlegg 1</w:t>
      </w:r>
      <w:r>
        <w:rPr>
          <w:rFonts w:cs="Arial"/>
          <w:bCs/>
        </w:rPr>
        <w:t>,</w:t>
      </w:r>
      <w:r w:rsidRPr="004A025A">
        <w:rPr>
          <w:rFonts w:cs="Arial"/>
          <w:bCs/>
        </w:rPr>
        <w:t xml:space="preserve"> vil kommuneplanen gå foran ved eventuelle motstrid. Der reguleringsplanen har satt en høyere utnyttingsgrad enn den generelle bestemmelsen i kommuneplanen, vil utnyttingsgraden i reguleringsplanen likevel gjelde.</w:t>
      </w:r>
      <w:r w:rsidRPr="004A025A">
        <w:rPr>
          <w:rFonts w:cs="Arial"/>
        </w:rPr>
        <w:t xml:space="preserve"> </w:t>
      </w:r>
    </w:p>
    <w:p w14:paraId="5BDCD0EF" w14:textId="77777777" w:rsidR="00C005F7" w:rsidRDefault="00C005F7"/>
    <w:p w14:paraId="41484E85" w14:textId="77777777" w:rsidR="00C005F7" w:rsidRPr="00C005F7" w:rsidRDefault="00C005F7">
      <w:pPr>
        <w:rPr>
          <w:b/>
          <w:bCs/>
        </w:rPr>
      </w:pPr>
      <w:r w:rsidRPr="00C005F7">
        <w:rPr>
          <w:b/>
          <w:bCs/>
        </w:rPr>
        <w:t xml:space="preserve">Merknad: </w:t>
      </w:r>
    </w:p>
    <w:p w14:paraId="0DF91B29" w14:textId="77777777" w:rsidR="00C005F7" w:rsidRDefault="00C005F7">
      <w:r>
        <w:t>Endringen er utelukkende en presisering vedrørende kommuneplanens byggegrense mot sjø og vassdrag og at denne gjelder foran eventuell byggegrense i reguleringsplan.</w:t>
      </w:r>
    </w:p>
    <w:p w14:paraId="2893BB61" w14:textId="77777777" w:rsidR="00C005F7" w:rsidRDefault="00C005F7"/>
    <w:p w14:paraId="468836A7" w14:textId="77777777" w:rsidR="00C005F7" w:rsidRPr="00BA7203" w:rsidRDefault="00BA7203" w:rsidP="00BA7203">
      <w:pPr>
        <w:spacing w:after="160" w:line="259" w:lineRule="auto"/>
        <w:ind w:left="705" w:hanging="705"/>
        <w:rPr>
          <w:b/>
          <w:color w:val="2F5496" w:themeColor="accent1" w:themeShade="BF"/>
          <w:sz w:val="24"/>
          <w:szCs w:val="24"/>
        </w:rPr>
      </w:pPr>
      <w:r>
        <w:rPr>
          <w:b/>
          <w:color w:val="2F5496" w:themeColor="accent1" w:themeShade="BF"/>
          <w:sz w:val="24"/>
          <w:szCs w:val="24"/>
        </w:rPr>
        <w:t xml:space="preserve">§ </w:t>
      </w:r>
      <w:r w:rsidRPr="00BA7203">
        <w:rPr>
          <w:b/>
          <w:color w:val="2F5496" w:themeColor="accent1" w:themeShade="BF"/>
          <w:sz w:val="24"/>
          <w:szCs w:val="24"/>
        </w:rPr>
        <w:t>2.4.2</w:t>
      </w:r>
      <w:r w:rsidRPr="00BA7203">
        <w:rPr>
          <w:b/>
          <w:color w:val="2F5496" w:themeColor="accent1" w:themeShade="BF"/>
          <w:sz w:val="24"/>
          <w:szCs w:val="24"/>
        </w:rPr>
        <w:tab/>
        <w:t>Rekkefølgekrav for utbygging av næringsområder</w:t>
      </w:r>
    </w:p>
    <w:p w14:paraId="72A58A45" w14:textId="77777777" w:rsidR="00BA7203" w:rsidRPr="000A28CC" w:rsidRDefault="00BA7203" w:rsidP="00BA7203">
      <w:pPr>
        <w:spacing w:after="0" w:line="259" w:lineRule="auto"/>
        <w:rPr>
          <w:u w:val="single"/>
        </w:rPr>
      </w:pPr>
      <w:r>
        <w:rPr>
          <w:u w:val="single"/>
        </w:rPr>
        <w:t>c</w:t>
      </w:r>
      <w:r w:rsidRPr="00BD7C04">
        <w:rPr>
          <w:u w:val="single"/>
        </w:rPr>
        <w:t xml:space="preserve">) </w:t>
      </w:r>
      <w:r w:rsidRPr="00A35B30">
        <w:rPr>
          <w:iCs/>
          <w:u w:val="single"/>
        </w:rPr>
        <w:t>Svingen</w:t>
      </w:r>
      <w:r w:rsidRPr="00BD7C04">
        <w:rPr>
          <w:u w:val="single"/>
        </w:rPr>
        <w:t xml:space="preserve"> </w:t>
      </w:r>
      <w:r>
        <w:rPr>
          <w:u w:val="single"/>
        </w:rPr>
        <w:t>(</w:t>
      </w:r>
      <w:r w:rsidRPr="00A80FB9">
        <w:rPr>
          <w:highlight w:val="yellow"/>
          <w:u w:val="single"/>
        </w:rPr>
        <w:t>N11a</w:t>
      </w:r>
      <w:r w:rsidRPr="00BD7C04">
        <w:rPr>
          <w:u w:val="single"/>
        </w:rPr>
        <w:t xml:space="preserve">) </w:t>
      </w:r>
    </w:p>
    <w:p w14:paraId="53B65E98" w14:textId="77777777" w:rsidR="00BA7203" w:rsidRPr="00BD7C04" w:rsidRDefault="00BA7203" w:rsidP="00BA7203">
      <w:r w:rsidRPr="00BD7C04">
        <w:t xml:space="preserve">Området </w:t>
      </w:r>
      <w:r w:rsidRPr="00A35B30">
        <w:rPr>
          <w:highlight w:val="yellow"/>
        </w:rPr>
        <w:t>N11a</w:t>
      </w:r>
      <w:r w:rsidRPr="00BD7C04">
        <w:t xml:space="preserve"> skal ikke utbygges med næringsbebyggelse før behovet for driftsbanegård til jernbane </w:t>
      </w:r>
      <w:r w:rsidRPr="007165BE">
        <w:rPr>
          <w:color w:val="FF0000"/>
        </w:rPr>
        <w:t xml:space="preserve">eller andre jernbaneformål </w:t>
      </w:r>
      <w:r w:rsidRPr="00BD7C04">
        <w:t>er avklart.</w:t>
      </w:r>
    </w:p>
    <w:p w14:paraId="1657CBDB" w14:textId="77777777" w:rsidR="00BA7203" w:rsidRDefault="00BA7203" w:rsidP="00BA7203">
      <w:pPr>
        <w:ind w:left="705" w:hanging="705"/>
        <w:rPr>
          <w:b/>
          <w:sz w:val="24"/>
        </w:rPr>
      </w:pPr>
    </w:p>
    <w:p w14:paraId="413453D8" w14:textId="77777777" w:rsidR="00BA7203" w:rsidRPr="00BA7203" w:rsidRDefault="00BA7203" w:rsidP="00BA7203">
      <w:pPr>
        <w:spacing w:after="160" w:line="259" w:lineRule="auto"/>
        <w:ind w:left="705" w:hanging="705"/>
        <w:rPr>
          <w:b/>
          <w:color w:val="2F5496" w:themeColor="accent1" w:themeShade="BF"/>
          <w:sz w:val="24"/>
          <w:szCs w:val="24"/>
        </w:rPr>
      </w:pPr>
      <w:r w:rsidRPr="00BA7203">
        <w:rPr>
          <w:b/>
          <w:color w:val="2F5496" w:themeColor="accent1" w:themeShade="BF"/>
          <w:sz w:val="24"/>
          <w:szCs w:val="24"/>
        </w:rPr>
        <w:t>§ 6.6 Landskap og grønnstruktur (</w:t>
      </w:r>
      <w:proofErr w:type="spellStart"/>
      <w:r w:rsidRPr="00BA7203">
        <w:rPr>
          <w:b/>
          <w:color w:val="2F5496" w:themeColor="accent1" w:themeShade="BF"/>
          <w:sz w:val="24"/>
          <w:szCs w:val="24"/>
        </w:rPr>
        <w:t>Pbl</w:t>
      </w:r>
      <w:proofErr w:type="spellEnd"/>
      <w:r w:rsidRPr="00BA7203">
        <w:rPr>
          <w:b/>
          <w:color w:val="2F5496" w:themeColor="accent1" w:themeShade="BF"/>
          <w:sz w:val="24"/>
          <w:szCs w:val="24"/>
        </w:rPr>
        <w:t xml:space="preserve">. § </w:t>
      </w:r>
      <w:bookmarkStart w:id="2" w:name="_Hlk53133018"/>
      <w:r w:rsidRPr="00BA7203">
        <w:rPr>
          <w:b/>
          <w:color w:val="2F5496" w:themeColor="accent1" w:themeShade="BF"/>
          <w:sz w:val="24"/>
          <w:szCs w:val="24"/>
        </w:rPr>
        <w:t>11-9, pkt. 6)</w:t>
      </w:r>
      <w:bookmarkEnd w:id="2"/>
    </w:p>
    <w:p w14:paraId="0F8163A8" w14:textId="77777777" w:rsidR="00BA7203" w:rsidRPr="00C66678" w:rsidRDefault="00BA7203" w:rsidP="00BA7203">
      <w:pPr>
        <w:ind w:left="705" w:hanging="705"/>
      </w:pPr>
      <w:r>
        <w:rPr>
          <w:b/>
          <w:sz w:val="24"/>
        </w:rPr>
        <w:t>6.6</w:t>
      </w:r>
      <w:r w:rsidRPr="00790E61">
        <w:rPr>
          <w:b/>
          <w:sz w:val="24"/>
        </w:rPr>
        <w:t>.2</w:t>
      </w:r>
      <w:r>
        <w:tab/>
      </w:r>
      <w:r w:rsidRPr="006E6376">
        <w:t xml:space="preserve">Langs alle vassdrag med </w:t>
      </w:r>
      <w:proofErr w:type="spellStart"/>
      <w:r w:rsidRPr="006E6376">
        <w:t>årssikker</w:t>
      </w:r>
      <w:proofErr w:type="spellEnd"/>
      <w:r w:rsidRPr="006E6376">
        <w:t xml:space="preserve"> vannføring, inklusive elver, bekker, vann og tjern, skal det opprettholdes og om mulig utvikles et naturlig vegetasjonsbelte som ivaretar viktige økologiske funksjoner, motvirker erosjon og tjener </w:t>
      </w:r>
      <w:proofErr w:type="spellStart"/>
      <w:r w:rsidRPr="006E6376">
        <w:t>flomsikring</w:t>
      </w:r>
      <w:proofErr w:type="spellEnd"/>
      <w:r w:rsidRPr="006E6376">
        <w:t xml:space="preserve"> og friluftslivet.</w:t>
      </w:r>
    </w:p>
    <w:p w14:paraId="71D8E3DE" w14:textId="77777777" w:rsidR="00BA7203" w:rsidRPr="007727B3" w:rsidRDefault="00BA7203" w:rsidP="00BA7203">
      <w:pPr>
        <w:spacing w:after="0"/>
        <w:rPr>
          <w:b/>
          <w:bCs/>
          <w:i/>
          <w:iCs/>
          <w:sz w:val="24"/>
          <w:szCs w:val="24"/>
        </w:rPr>
      </w:pPr>
      <w:r w:rsidRPr="007727B3">
        <w:rPr>
          <w:b/>
          <w:bCs/>
          <w:i/>
          <w:iCs/>
          <w:sz w:val="24"/>
          <w:szCs w:val="24"/>
        </w:rPr>
        <w:lastRenderedPageBreak/>
        <w:t>Retningslinjer:</w:t>
      </w:r>
    </w:p>
    <w:p w14:paraId="28AAB290" w14:textId="77777777" w:rsidR="00BA7203" w:rsidRPr="00EE3BE5" w:rsidRDefault="00BA7203" w:rsidP="00BA7203">
      <w:pPr>
        <w:pStyle w:val="Listeavsnitt"/>
        <w:spacing w:after="0"/>
        <w:rPr>
          <w:i/>
          <w:iCs/>
        </w:rPr>
      </w:pPr>
      <w:r w:rsidRPr="00EE3BE5">
        <w:rPr>
          <w:i/>
          <w:iCs/>
        </w:rPr>
        <w:t>Vegetasjonsbeltet på hver side av vannflaten/vannstrengen bør være på minimum 20 meter langs elver, større bekker, vann og tjern. Langs mindre bekker bør vegetasjonsbeltet være på minimum 6 meter</w:t>
      </w:r>
      <w:r w:rsidRPr="007165BE">
        <w:rPr>
          <w:i/>
          <w:iCs/>
        </w:rPr>
        <w:t>.</w:t>
      </w:r>
      <w:r w:rsidRPr="007165BE">
        <w:rPr>
          <w:i/>
          <w:iCs/>
          <w:color w:val="FF0000"/>
        </w:rPr>
        <w:t xml:space="preserve"> Der det er fare for ras og erosjon må vegetasjonsbeltet være på mer enn 6 meter.</w:t>
      </w:r>
      <w:r w:rsidRPr="00EE3BE5">
        <w:rPr>
          <w:i/>
          <w:iCs/>
        </w:rPr>
        <w:t xml:space="preserve">  </w:t>
      </w:r>
      <w:r>
        <w:rPr>
          <w:i/>
          <w:iCs/>
        </w:rPr>
        <w:t xml:space="preserve">Arealrestriksjonene vil gjelde nye tiltak, jf. </w:t>
      </w:r>
      <w:proofErr w:type="spellStart"/>
      <w:r>
        <w:rPr>
          <w:i/>
          <w:iCs/>
        </w:rPr>
        <w:t>pbl</w:t>
      </w:r>
      <w:proofErr w:type="spellEnd"/>
      <w:r>
        <w:rPr>
          <w:i/>
          <w:iCs/>
        </w:rPr>
        <w:t>. § 1-6 mv.</w:t>
      </w:r>
    </w:p>
    <w:p w14:paraId="3790FBFB" w14:textId="77777777" w:rsidR="00BA7203" w:rsidRDefault="00BA7203"/>
    <w:sectPr w:rsidR="00BA720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B9F8F" w14:textId="77777777" w:rsidR="006A14CA" w:rsidRDefault="006A14CA" w:rsidP="00853312">
      <w:pPr>
        <w:spacing w:after="0" w:line="240" w:lineRule="auto"/>
      </w:pPr>
      <w:r>
        <w:separator/>
      </w:r>
    </w:p>
  </w:endnote>
  <w:endnote w:type="continuationSeparator" w:id="0">
    <w:p w14:paraId="4D347E06" w14:textId="77777777" w:rsidR="006A14CA" w:rsidRDefault="006A14CA" w:rsidP="00853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8628A" w14:textId="77777777" w:rsidR="00853312" w:rsidRDefault="00853312">
    <w:pPr>
      <w:pStyle w:val="Bunntekst"/>
    </w:pPr>
    <w:r>
      <w:t>Kristine Schneede, 1</w:t>
    </w:r>
    <w:r w:rsidR="00825809">
      <w:t>5</w:t>
    </w:r>
    <w:r>
      <w:t>.2.2021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7A397" w14:textId="77777777" w:rsidR="006A14CA" w:rsidRDefault="006A14CA" w:rsidP="00853312">
      <w:pPr>
        <w:spacing w:after="0" w:line="240" w:lineRule="auto"/>
      </w:pPr>
      <w:r>
        <w:separator/>
      </w:r>
    </w:p>
  </w:footnote>
  <w:footnote w:type="continuationSeparator" w:id="0">
    <w:p w14:paraId="5DC44CD4" w14:textId="77777777" w:rsidR="006A14CA" w:rsidRDefault="006A14CA" w:rsidP="008533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5A60A5"/>
    <w:multiLevelType w:val="hybridMultilevel"/>
    <w:tmpl w:val="CBB43C16"/>
    <w:lvl w:ilvl="0" w:tplc="04140001">
      <w:start w:val="1"/>
      <w:numFmt w:val="bullet"/>
      <w:lvlText w:val=""/>
      <w:lvlJc w:val="left"/>
      <w:pPr>
        <w:ind w:left="1431" w:hanging="360"/>
      </w:pPr>
      <w:rPr>
        <w:rFonts w:ascii="Symbol" w:hAnsi="Symbol" w:hint="default"/>
      </w:rPr>
    </w:lvl>
    <w:lvl w:ilvl="1" w:tplc="04140003" w:tentative="1">
      <w:start w:val="1"/>
      <w:numFmt w:val="bullet"/>
      <w:lvlText w:val="o"/>
      <w:lvlJc w:val="left"/>
      <w:pPr>
        <w:ind w:left="2151" w:hanging="360"/>
      </w:pPr>
      <w:rPr>
        <w:rFonts w:ascii="Courier New" w:hAnsi="Courier New" w:cs="Courier New" w:hint="default"/>
      </w:rPr>
    </w:lvl>
    <w:lvl w:ilvl="2" w:tplc="04140005" w:tentative="1">
      <w:start w:val="1"/>
      <w:numFmt w:val="bullet"/>
      <w:lvlText w:val=""/>
      <w:lvlJc w:val="left"/>
      <w:pPr>
        <w:ind w:left="2871" w:hanging="360"/>
      </w:pPr>
      <w:rPr>
        <w:rFonts w:ascii="Wingdings" w:hAnsi="Wingdings" w:hint="default"/>
      </w:rPr>
    </w:lvl>
    <w:lvl w:ilvl="3" w:tplc="04140001" w:tentative="1">
      <w:start w:val="1"/>
      <w:numFmt w:val="bullet"/>
      <w:lvlText w:val=""/>
      <w:lvlJc w:val="left"/>
      <w:pPr>
        <w:ind w:left="3591" w:hanging="360"/>
      </w:pPr>
      <w:rPr>
        <w:rFonts w:ascii="Symbol" w:hAnsi="Symbol" w:hint="default"/>
      </w:rPr>
    </w:lvl>
    <w:lvl w:ilvl="4" w:tplc="04140003" w:tentative="1">
      <w:start w:val="1"/>
      <w:numFmt w:val="bullet"/>
      <w:lvlText w:val="o"/>
      <w:lvlJc w:val="left"/>
      <w:pPr>
        <w:ind w:left="4311" w:hanging="360"/>
      </w:pPr>
      <w:rPr>
        <w:rFonts w:ascii="Courier New" w:hAnsi="Courier New" w:cs="Courier New" w:hint="default"/>
      </w:rPr>
    </w:lvl>
    <w:lvl w:ilvl="5" w:tplc="04140005" w:tentative="1">
      <w:start w:val="1"/>
      <w:numFmt w:val="bullet"/>
      <w:lvlText w:val=""/>
      <w:lvlJc w:val="left"/>
      <w:pPr>
        <w:ind w:left="5031" w:hanging="360"/>
      </w:pPr>
      <w:rPr>
        <w:rFonts w:ascii="Wingdings" w:hAnsi="Wingdings" w:hint="default"/>
      </w:rPr>
    </w:lvl>
    <w:lvl w:ilvl="6" w:tplc="04140001" w:tentative="1">
      <w:start w:val="1"/>
      <w:numFmt w:val="bullet"/>
      <w:lvlText w:val=""/>
      <w:lvlJc w:val="left"/>
      <w:pPr>
        <w:ind w:left="5751" w:hanging="360"/>
      </w:pPr>
      <w:rPr>
        <w:rFonts w:ascii="Symbol" w:hAnsi="Symbol" w:hint="default"/>
      </w:rPr>
    </w:lvl>
    <w:lvl w:ilvl="7" w:tplc="04140003" w:tentative="1">
      <w:start w:val="1"/>
      <w:numFmt w:val="bullet"/>
      <w:lvlText w:val="o"/>
      <w:lvlJc w:val="left"/>
      <w:pPr>
        <w:ind w:left="6471" w:hanging="360"/>
      </w:pPr>
      <w:rPr>
        <w:rFonts w:ascii="Courier New" w:hAnsi="Courier New" w:cs="Courier New" w:hint="default"/>
      </w:rPr>
    </w:lvl>
    <w:lvl w:ilvl="8" w:tplc="04140005" w:tentative="1">
      <w:start w:val="1"/>
      <w:numFmt w:val="bullet"/>
      <w:lvlText w:val=""/>
      <w:lvlJc w:val="left"/>
      <w:pPr>
        <w:ind w:left="719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CE6"/>
    <w:rsid w:val="000558FF"/>
    <w:rsid w:val="000F4525"/>
    <w:rsid w:val="00137B38"/>
    <w:rsid w:val="001D50AC"/>
    <w:rsid w:val="00357C56"/>
    <w:rsid w:val="00415873"/>
    <w:rsid w:val="00515CE6"/>
    <w:rsid w:val="006A14CA"/>
    <w:rsid w:val="00825809"/>
    <w:rsid w:val="00853312"/>
    <w:rsid w:val="008A4B69"/>
    <w:rsid w:val="0099382D"/>
    <w:rsid w:val="009B588A"/>
    <w:rsid w:val="009F41DB"/>
    <w:rsid w:val="00AE7685"/>
    <w:rsid w:val="00BA7203"/>
    <w:rsid w:val="00BE02EF"/>
    <w:rsid w:val="00C005F7"/>
    <w:rsid w:val="00E64CEB"/>
    <w:rsid w:val="00F87679"/>
    <w:rsid w:val="00FE7E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C149E"/>
  <w15:chartTrackingRefBased/>
  <w15:docId w15:val="{1BBA7AF5-633C-46D2-9D46-9850C3EB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CE6"/>
    <w:pPr>
      <w:spacing w:after="200" w:line="276" w:lineRule="auto"/>
    </w:pPr>
  </w:style>
  <w:style w:type="paragraph" w:styleId="Overskrift1">
    <w:name w:val="heading 1"/>
    <w:basedOn w:val="Normal"/>
    <w:next w:val="Normal"/>
    <w:link w:val="Overskrift1Tegn"/>
    <w:uiPriority w:val="9"/>
    <w:qFormat/>
    <w:rsid w:val="00515C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15CE6"/>
    <w:pPr>
      <w:ind w:left="720"/>
      <w:contextualSpacing/>
    </w:pPr>
  </w:style>
  <w:style w:type="character" w:customStyle="1" w:styleId="Overskrift1Tegn">
    <w:name w:val="Overskrift 1 Tegn"/>
    <w:basedOn w:val="Standardskriftforavsnitt"/>
    <w:link w:val="Overskrift1"/>
    <w:uiPriority w:val="9"/>
    <w:rsid w:val="00515CE6"/>
    <w:rPr>
      <w:rFonts w:asciiTheme="majorHAnsi" w:eastAsiaTheme="majorEastAsia" w:hAnsiTheme="majorHAnsi" w:cstheme="majorBidi"/>
      <w:color w:val="2F5496" w:themeColor="accent1" w:themeShade="BF"/>
      <w:sz w:val="32"/>
      <w:szCs w:val="32"/>
    </w:rPr>
  </w:style>
  <w:style w:type="paragraph" w:styleId="Topptekst">
    <w:name w:val="header"/>
    <w:basedOn w:val="Normal"/>
    <w:link w:val="TopptekstTegn"/>
    <w:uiPriority w:val="99"/>
    <w:unhideWhenUsed/>
    <w:rsid w:val="0085331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53312"/>
  </w:style>
  <w:style w:type="paragraph" w:styleId="Bunntekst">
    <w:name w:val="footer"/>
    <w:basedOn w:val="Normal"/>
    <w:link w:val="BunntekstTegn"/>
    <w:uiPriority w:val="99"/>
    <w:unhideWhenUsed/>
    <w:rsid w:val="0085331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53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970</Words>
  <Characters>5142</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Helga Walbom Schneede</dc:creator>
  <cp:keywords/>
  <dc:description/>
  <cp:lastModifiedBy>Randi Sommerseth</cp:lastModifiedBy>
  <cp:revision>2</cp:revision>
  <dcterms:created xsi:type="dcterms:W3CDTF">2021-02-15T16:34:00Z</dcterms:created>
  <dcterms:modified xsi:type="dcterms:W3CDTF">2021-02-15T16:34:00Z</dcterms:modified>
</cp:coreProperties>
</file>