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E66D6" w14:textId="77777777" w:rsidR="006F5332" w:rsidRDefault="006F5332" w:rsidP="006F5332">
      <w:pPr>
        <w:spacing w:after="160" w:line="259" w:lineRule="auto"/>
        <w:rPr>
          <w:rFonts w:cs="Arial"/>
          <w:b/>
          <w:bCs/>
          <w:color w:val="1F3864" w:themeColor="accent1" w:themeShade="80"/>
          <w:sz w:val="28"/>
          <w:szCs w:val="24"/>
        </w:rPr>
      </w:pPr>
      <w:r>
        <w:rPr>
          <w:rFonts w:cs="Arial"/>
          <w:b/>
          <w:bCs/>
          <w:color w:val="1F3864" w:themeColor="accent1" w:themeShade="80"/>
          <w:sz w:val="28"/>
          <w:szCs w:val="24"/>
        </w:rPr>
        <w:t>§ 2.4</w:t>
      </w:r>
      <w:r w:rsidRPr="003A4652">
        <w:rPr>
          <w:rFonts w:cs="Arial"/>
          <w:b/>
          <w:bCs/>
          <w:color w:val="1F3864" w:themeColor="accent1" w:themeShade="80"/>
          <w:sz w:val="28"/>
          <w:szCs w:val="24"/>
        </w:rPr>
        <w:t xml:space="preserve"> </w:t>
      </w:r>
      <w:r>
        <w:rPr>
          <w:rFonts w:cs="Arial"/>
          <w:b/>
          <w:bCs/>
          <w:color w:val="1F3864" w:themeColor="accent1" w:themeShade="80"/>
          <w:sz w:val="28"/>
          <w:szCs w:val="24"/>
        </w:rPr>
        <w:tab/>
      </w:r>
      <w:r w:rsidRPr="003A4652">
        <w:rPr>
          <w:rFonts w:cs="Arial"/>
          <w:b/>
          <w:bCs/>
          <w:color w:val="1F3864" w:themeColor="accent1" w:themeShade="80"/>
          <w:sz w:val="28"/>
          <w:szCs w:val="24"/>
        </w:rPr>
        <w:t xml:space="preserve">Rekkefølgekrav </w:t>
      </w:r>
      <w:r w:rsidRPr="008C31C6">
        <w:rPr>
          <w:rFonts w:cs="Arial"/>
          <w:b/>
          <w:bCs/>
          <w:color w:val="1F3864" w:themeColor="accent1" w:themeShade="80"/>
          <w:sz w:val="24"/>
          <w:szCs w:val="24"/>
        </w:rPr>
        <w:t>(</w:t>
      </w:r>
      <w:proofErr w:type="spellStart"/>
      <w:r w:rsidRPr="008C31C6">
        <w:rPr>
          <w:rFonts w:cs="Arial"/>
          <w:b/>
          <w:bCs/>
          <w:color w:val="1F3864" w:themeColor="accent1" w:themeShade="80"/>
          <w:sz w:val="24"/>
          <w:szCs w:val="24"/>
        </w:rPr>
        <w:t>Pbl</w:t>
      </w:r>
      <w:proofErr w:type="spellEnd"/>
      <w:r w:rsidRPr="008C31C6">
        <w:rPr>
          <w:rFonts w:cs="Arial"/>
          <w:b/>
          <w:bCs/>
          <w:color w:val="1F3864" w:themeColor="accent1" w:themeShade="80"/>
          <w:sz w:val="24"/>
          <w:szCs w:val="24"/>
        </w:rPr>
        <w:t>. § 11-9, pkt. 4)</w:t>
      </w:r>
      <w:r>
        <w:rPr>
          <w:rFonts w:cs="Arial"/>
          <w:b/>
          <w:bCs/>
          <w:color w:val="1F3864" w:themeColor="accent1" w:themeShade="80"/>
          <w:sz w:val="28"/>
          <w:szCs w:val="24"/>
        </w:rPr>
        <w:t xml:space="preserve"> </w:t>
      </w:r>
    </w:p>
    <w:p w14:paraId="328BFE3A" w14:textId="77777777" w:rsidR="006F5332" w:rsidRPr="007840EE" w:rsidRDefault="006F5332" w:rsidP="006F5332">
      <w:pPr>
        <w:spacing w:after="160" w:line="259" w:lineRule="auto"/>
        <w:rPr>
          <w:rFonts w:cs="Arial"/>
          <w:b/>
          <w:bCs/>
          <w:color w:val="1F3864" w:themeColor="accent1" w:themeShade="80"/>
          <w:sz w:val="28"/>
          <w:szCs w:val="24"/>
        </w:rPr>
      </w:pPr>
      <w:r w:rsidRPr="007840EE">
        <w:rPr>
          <w:rFonts w:cs="Arial"/>
          <w:b/>
          <w:bCs/>
          <w:color w:val="FF0000"/>
          <w:sz w:val="24"/>
          <w:szCs w:val="24"/>
        </w:rPr>
        <w:t>NB! Endret 9.2.2021</w:t>
      </w:r>
    </w:p>
    <w:p w14:paraId="3FA4D2C8" w14:textId="77777777" w:rsidR="006F5332" w:rsidRDefault="006F5332" w:rsidP="006F533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</w:rPr>
      </w:pPr>
      <w:bookmarkStart w:id="0" w:name="_Hlk63064751"/>
    </w:p>
    <w:p w14:paraId="31372916" w14:textId="77777777" w:rsidR="006F5332" w:rsidRPr="00A35B30" w:rsidRDefault="006F5332" w:rsidP="006F5332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4"/>
        </w:rPr>
      </w:pPr>
      <w:r w:rsidRPr="00A35B30">
        <w:rPr>
          <w:rFonts w:cs="Arial"/>
          <w:b/>
          <w:bCs/>
          <w:sz w:val="24"/>
        </w:rPr>
        <w:t>2.4.1</w:t>
      </w:r>
      <w:r w:rsidRPr="00A35B30">
        <w:rPr>
          <w:rFonts w:cs="Arial"/>
          <w:b/>
          <w:bCs/>
          <w:sz w:val="24"/>
        </w:rPr>
        <w:tab/>
        <w:t xml:space="preserve">Rekkefølgekrav for utbygging av </w:t>
      </w:r>
      <w:r>
        <w:rPr>
          <w:rFonts w:cs="Arial"/>
          <w:b/>
          <w:bCs/>
          <w:sz w:val="24"/>
        </w:rPr>
        <w:t>bolig</w:t>
      </w:r>
      <w:r w:rsidRPr="00A35B30">
        <w:rPr>
          <w:rFonts w:cs="Arial"/>
          <w:b/>
          <w:bCs/>
          <w:sz w:val="24"/>
        </w:rPr>
        <w:t>områder</w:t>
      </w:r>
    </w:p>
    <w:p w14:paraId="2C2FF015" w14:textId="77777777" w:rsidR="006F5332" w:rsidRDefault="006F5332" w:rsidP="006F5332">
      <w:pPr>
        <w:ind w:left="705" w:hanging="705"/>
        <w:rPr>
          <w:b/>
          <w:noProof/>
        </w:rPr>
      </w:pPr>
      <w:r w:rsidRPr="00765950">
        <w:rPr>
          <w:noProof/>
        </w:rPr>
        <w:t xml:space="preserve">a) </w:t>
      </w:r>
      <w:r>
        <w:rPr>
          <w:noProof/>
        </w:rPr>
        <w:tab/>
      </w:r>
      <w:r w:rsidRPr="00765950">
        <w:rPr>
          <w:noProof/>
        </w:rPr>
        <w:t>Etablering av nye boligområder skal ta hensyn til skolekapasiteten i skolekretsen området tilhører.</w:t>
      </w:r>
    </w:p>
    <w:p w14:paraId="461A2D38" w14:textId="77777777" w:rsidR="006F5332" w:rsidRPr="00765950" w:rsidRDefault="006F5332" w:rsidP="006F5332">
      <w:pPr>
        <w:ind w:left="705" w:hanging="705"/>
        <w:rPr>
          <w:b/>
          <w:noProof/>
        </w:rPr>
      </w:pPr>
      <w:r>
        <w:rPr>
          <w:noProof/>
        </w:rPr>
        <w:t>b</w:t>
      </w:r>
      <w:r w:rsidRPr="00765950">
        <w:rPr>
          <w:noProof/>
        </w:rPr>
        <w:t xml:space="preserve">) </w:t>
      </w:r>
      <w:r>
        <w:rPr>
          <w:noProof/>
        </w:rPr>
        <w:tab/>
      </w:r>
      <w:r w:rsidRPr="00765950">
        <w:rPr>
          <w:noProof/>
        </w:rPr>
        <w:t>Områdene (</w:t>
      </w:r>
      <w:r w:rsidRPr="00A35B30">
        <w:rPr>
          <w:noProof/>
          <w:highlight w:val="yellow"/>
        </w:rPr>
        <w:t>felt xx-zz</w:t>
      </w:r>
      <w:r w:rsidRPr="00765950">
        <w:rPr>
          <w:noProof/>
        </w:rPr>
        <w:t xml:space="preserve">) skal utbygges i følgende rekkefølge og med hovedsakelig følgende </w:t>
      </w:r>
      <w:r>
        <w:rPr>
          <w:noProof/>
        </w:rPr>
        <w:t xml:space="preserve">  </w:t>
      </w:r>
      <w:r w:rsidRPr="00765950">
        <w:rPr>
          <w:noProof/>
        </w:rPr>
        <w:t xml:space="preserve">bygningstyper: </w:t>
      </w:r>
    </w:p>
    <w:tbl>
      <w:tblPr>
        <w:tblStyle w:val="Rutenettabell1lysuthevingsfarge5"/>
        <w:tblW w:w="8080" w:type="dxa"/>
        <w:tblInd w:w="704" w:type="dxa"/>
        <w:tblLook w:val="04A0" w:firstRow="1" w:lastRow="0" w:firstColumn="1" w:lastColumn="0" w:noHBand="0" w:noVBand="1"/>
      </w:tblPr>
      <w:tblGrid>
        <w:gridCol w:w="2126"/>
        <w:gridCol w:w="2694"/>
        <w:gridCol w:w="3260"/>
      </w:tblGrid>
      <w:tr w:rsidR="006F5332" w:rsidRPr="00765950" w14:paraId="08F7FA79" w14:textId="77777777" w:rsidTr="006075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545A424" w14:textId="77777777" w:rsidR="006F5332" w:rsidRPr="00765950" w:rsidRDefault="006F5332" w:rsidP="001626A0">
            <w:pPr>
              <w:rPr>
                <w:b w:val="0"/>
                <w:noProof/>
                <w:sz w:val="20"/>
                <w:szCs w:val="20"/>
              </w:rPr>
            </w:pPr>
            <w:r w:rsidRPr="00765950">
              <w:rPr>
                <w:noProof/>
                <w:sz w:val="20"/>
                <w:szCs w:val="20"/>
              </w:rPr>
              <w:t>PERIODE</w:t>
            </w:r>
            <w:r>
              <w:rPr>
                <w:noProof/>
                <w:sz w:val="20"/>
                <w:szCs w:val="20"/>
              </w:rPr>
              <w:t>/GRUPPE</w:t>
            </w:r>
          </w:p>
        </w:tc>
        <w:tc>
          <w:tcPr>
            <w:tcW w:w="2694" w:type="dxa"/>
          </w:tcPr>
          <w:p w14:paraId="0BB70160" w14:textId="77777777" w:rsidR="006F5332" w:rsidRPr="00765950" w:rsidRDefault="006F5332" w:rsidP="001626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0"/>
                <w:szCs w:val="20"/>
              </w:rPr>
            </w:pPr>
            <w:r w:rsidRPr="00765950">
              <w:rPr>
                <w:noProof/>
                <w:sz w:val="20"/>
                <w:szCs w:val="20"/>
              </w:rPr>
              <w:t>OMRÅDE</w:t>
            </w:r>
          </w:p>
        </w:tc>
        <w:tc>
          <w:tcPr>
            <w:tcW w:w="3260" w:type="dxa"/>
          </w:tcPr>
          <w:p w14:paraId="06BC82F1" w14:textId="77777777" w:rsidR="006F5332" w:rsidRPr="00765950" w:rsidRDefault="006F5332" w:rsidP="001626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noProof/>
                <w:sz w:val="20"/>
                <w:szCs w:val="20"/>
              </w:rPr>
            </w:pPr>
            <w:r w:rsidRPr="00765950">
              <w:rPr>
                <w:noProof/>
                <w:sz w:val="20"/>
                <w:szCs w:val="20"/>
              </w:rPr>
              <w:t>TYPE BEBYGGELSE</w:t>
            </w:r>
          </w:p>
        </w:tc>
      </w:tr>
      <w:tr w:rsidR="006F5332" w:rsidRPr="001B023B" w14:paraId="12CB33DE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2C5099CC" w14:textId="77777777" w:rsidR="006F5332" w:rsidRPr="001B023B" w:rsidRDefault="006F5332" w:rsidP="001626A0">
            <w:pPr>
              <w:spacing w:after="0" w:line="240" w:lineRule="auto"/>
              <w:rPr>
                <w:bCs w:val="0"/>
                <w:noProof/>
                <w:sz w:val="20"/>
                <w:szCs w:val="20"/>
              </w:rPr>
            </w:pPr>
            <w:r w:rsidRPr="001B023B">
              <w:rPr>
                <w:bCs w:val="0"/>
                <w:noProof/>
                <w:sz w:val="20"/>
                <w:szCs w:val="20"/>
              </w:rPr>
              <w:t>Gruppe 1: 2021-2030</w:t>
            </w:r>
          </w:p>
        </w:tc>
        <w:tc>
          <w:tcPr>
            <w:tcW w:w="2694" w:type="dxa"/>
          </w:tcPr>
          <w:p w14:paraId="2B28F689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Brekkerød (B32)</w:t>
            </w:r>
          </w:p>
        </w:tc>
        <w:tc>
          <w:tcPr>
            <w:tcW w:w="3260" w:type="dxa"/>
          </w:tcPr>
          <w:p w14:paraId="5D86ADED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Eneboliger</w:t>
            </w:r>
          </w:p>
        </w:tc>
      </w:tr>
      <w:tr w:rsidR="006F5332" w:rsidRPr="001B023B" w14:paraId="01943A83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8918C2A" w14:textId="77777777" w:rsidR="006F5332" w:rsidRPr="001B023B" w:rsidRDefault="006F5332" w:rsidP="001626A0">
            <w:pPr>
              <w:spacing w:after="0" w:line="240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BAE9CC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Folkvang skole (felt?)</w:t>
            </w:r>
          </w:p>
        </w:tc>
        <w:tc>
          <w:tcPr>
            <w:tcW w:w="3260" w:type="dxa"/>
          </w:tcPr>
          <w:p w14:paraId="77A7F5F9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 xml:space="preserve">Leiligheter </w:t>
            </w:r>
          </w:p>
        </w:tc>
      </w:tr>
      <w:tr w:rsidR="006F5332" w:rsidRPr="001B023B" w14:paraId="0113E036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2E955A2E" w14:textId="77777777" w:rsidR="006F5332" w:rsidRPr="00765950" w:rsidRDefault="006F5332" w:rsidP="001626A0">
            <w:pPr>
              <w:spacing w:after="0" w:line="240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694" w:type="dxa"/>
          </w:tcPr>
          <w:p w14:paraId="32B15F18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Oreid (B16)</w:t>
            </w:r>
          </w:p>
        </w:tc>
        <w:tc>
          <w:tcPr>
            <w:tcW w:w="3260" w:type="dxa"/>
          </w:tcPr>
          <w:p w14:paraId="5999EC87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Småhusbebyggelse/Leiligheter</w:t>
            </w:r>
          </w:p>
        </w:tc>
      </w:tr>
      <w:tr w:rsidR="006F5332" w:rsidRPr="001B023B" w14:paraId="43603405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728D1549" w14:textId="77777777" w:rsidR="006F5332" w:rsidRPr="00765950" w:rsidRDefault="006F5332" w:rsidP="001626A0">
            <w:pPr>
              <w:spacing w:after="0" w:line="240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694" w:type="dxa"/>
          </w:tcPr>
          <w:p w14:paraId="29768F07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Remmen (B5)</w:t>
            </w:r>
          </w:p>
        </w:tc>
        <w:tc>
          <w:tcPr>
            <w:tcW w:w="3260" w:type="dxa"/>
          </w:tcPr>
          <w:p w14:paraId="4459C826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Eneboliger</w:t>
            </w:r>
          </w:p>
        </w:tc>
      </w:tr>
      <w:tr w:rsidR="006F5332" w:rsidRPr="001B023B" w14:paraId="36EA1040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CB871F7" w14:textId="77777777" w:rsidR="006F5332" w:rsidRPr="001B023B" w:rsidRDefault="006F5332" w:rsidP="001626A0">
            <w:pPr>
              <w:spacing w:after="0" w:line="240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694" w:type="dxa"/>
          </w:tcPr>
          <w:p w14:paraId="2AF8FBE1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Måstad (felt?)</w:t>
            </w:r>
          </w:p>
        </w:tc>
        <w:tc>
          <w:tcPr>
            <w:tcW w:w="3260" w:type="dxa"/>
          </w:tcPr>
          <w:p w14:paraId="2CE3B6D7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Eneboliger</w:t>
            </w:r>
          </w:p>
        </w:tc>
      </w:tr>
      <w:tr w:rsidR="006F5332" w:rsidRPr="001B023B" w14:paraId="624BF42E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C7E3F4A" w14:textId="77777777" w:rsidR="006F5332" w:rsidRPr="00765950" w:rsidRDefault="006F5332" w:rsidP="001626A0">
            <w:pPr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4EE422" w14:textId="77777777" w:rsidR="006F5332" w:rsidRPr="001B023B" w:rsidRDefault="006F5332" w:rsidP="0016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Eskeviken (B22 og B23)</w:t>
            </w:r>
          </w:p>
        </w:tc>
        <w:tc>
          <w:tcPr>
            <w:tcW w:w="3260" w:type="dxa"/>
          </w:tcPr>
          <w:p w14:paraId="4792B58E" w14:textId="77777777" w:rsidR="006F5332" w:rsidRPr="001B023B" w:rsidRDefault="006F5332" w:rsidP="0016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Småhusbebyggelse</w:t>
            </w:r>
          </w:p>
        </w:tc>
      </w:tr>
      <w:tr w:rsidR="006F5332" w:rsidRPr="00765950" w14:paraId="47696723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16E3829F" w14:textId="77777777" w:rsidR="006F5332" w:rsidRPr="00765950" w:rsidRDefault="006F5332" w:rsidP="001626A0">
            <w:pPr>
              <w:rPr>
                <w:b w:val="0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Gruppe 2: </w:t>
            </w:r>
            <w:r w:rsidRPr="00765950">
              <w:rPr>
                <w:noProof/>
                <w:sz w:val="20"/>
                <w:szCs w:val="20"/>
              </w:rPr>
              <w:t>2031-2040</w:t>
            </w:r>
          </w:p>
        </w:tc>
        <w:tc>
          <w:tcPr>
            <w:tcW w:w="2694" w:type="dxa"/>
          </w:tcPr>
          <w:p w14:paraId="3116D58B" w14:textId="77777777" w:rsidR="006F5332" w:rsidRPr="00765950" w:rsidRDefault="006F5332" w:rsidP="0016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765950">
              <w:rPr>
                <w:bCs/>
                <w:noProof/>
                <w:sz w:val="20"/>
                <w:szCs w:val="20"/>
              </w:rPr>
              <w:t>Hovsveien 35-39 (felt?)</w:t>
            </w:r>
          </w:p>
        </w:tc>
        <w:tc>
          <w:tcPr>
            <w:tcW w:w="3260" w:type="dxa"/>
          </w:tcPr>
          <w:p w14:paraId="540B0FC9" w14:textId="77777777" w:rsidR="006F5332" w:rsidRPr="00765950" w:rsidRDefault="006F5332" w:rsidP="0016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765950">
              <w:rPr>
                <w:bCs/>
                <w:noProof/>
                <w:sz w:val="20"/>
                <w:szCs w:val="20"/>
              </w:rPr>
              <w:t>Eneboliger</w:t>
            </w:r>
          </w:p>
        </w:tc>
      </w:tr>
      <w:tr w:rsidR="006F5332" w:rsidRPr="001B023B" w14:paraId="3FB5E110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1A690BE" w14:textId="77777777" w:rsidR="006F5332" w:rsidRPr="00765950" w:rsidRDefault="006F5332" w:rsidP="001626A0">
            <w:pPr>
              <w:spacing w:after="0" w:line="240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694" w:type="dxa"/>
          </w:tcPr>
          <w:p w14:paraId="5E0B997F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Hollenderen (B8)</w:t>
            </w:r>
          </w:p>
        </w:tc>
        <w:tc>
          <w:tcPr>
            <w:tcW w:w="3260" w:type="dxa"/>
          </w:tcPr>
          <w:p w14:paraId="7E0C7A1F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Leiligheter</w:t>
            </w:r>
          </w:p>
        </w:tc>
      </w:tr>
      <w:tr w:rsidR="006F5332" w:rsidRPr="001B023B" w14:paraId="6EF8AC85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F87E892" w14:textId="77777777" w:rsidR="006F5332" w:rsidRPr="00765950" w:rsidRDefault="006F5332" w:rsidP="001626A0">
            <w:pPr>
              <w:spacing w:after="0" w:line="240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694" w:type="dxa"/>
          </w:tcPr>
          <w:p w14:paraId="5BF206FF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Strupe (B6 og B7)</w:t>
            </w:r>
          </w:p>
        </w:tc>
        <w:tc>
          <w:tcPr>
            <w:tcW w:w="3260" w:type="dxa"/>
          </w:tcPr>
          <w:p w14:paraId="6F035C4B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Eneboliger/småhusbebyggelse</w:t>
            </w:r>
          </w:p>
        </w:tc>
      </w:tr>
      <w:tr w:rsidR="006F5332" w:rsidRPr="001B023B" w14:paraId="736CD29A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4FF4D25" w14:textId="77777777" w:rsidR="006F5332" w:rsidRPr="00765950" w:rsidRDefault="006F5332" w:rsidP="001626A0">
            <w:pPr>
              <w:spacing w:after="0" w:line="240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3F74C2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Øberg skole (felt?)</w:t>
            </w:r>
          </w:p>
        </w:tc>
        <w:tc>
          <w:tcPr>
            <w:tcW w:w="3260" w:type="dxa"/>
          </w:tcPr>
          <w:p w14:paraId="5A6F1B07" w14:textId="77777777" w:rsidR="006F5332" w:rsidRPr="001B023B" w:rsidRDefault="006F5332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Leiligheter</w:t>
            </w:r>
          </w:p>
        </w:tc>
      </w:tr>
      <w:tr w:rsidR="006F5332" w:rsidRPr="00765950" w14:paraId="3F56EBC4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30D84FD6" w14:textId="77777777" w:rsidR="006F5332" w:rsidRPr="00765950" w:rsidRDefault="006F5332" w:rsidP="001626A0">
            <w:pPr>
              <w:rPr>
                <w:b w:val="0"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Gruppe 3: E</w:t>
            </w:r>
            <w:r w:rsidRPr="00765950">
              <w:rPr>
                <w:noProof/>
                <w:sz w:val="20"/>
                <w:szCs w:val="20"/>
              </w:rPr>
              <w:t>tter 2040</w:t>
            </w:r>
          </w:p>
        </w:tc>
        <w:tc>
          <w:tcPr>
            <w:tcW w:w="2694" w:type="dxa"/>
          </w:tcPr>
          <w:p w14:paraId="757BA22D" w14:textId="77777777" w:rsidR="006F5332" w:rsidRPr="00765950" w:rsidRDefault="009A7ACF" w:rsidP="0016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Vold skog (felt?)</w:t>
            </w:r>
          </w:p>
        </w:tc>
        <w:tc>
          <w:tcPr>
            <w:tcW w:w="3260" w:type="dxa"/>
          </w:tcPr>
          <w:p w14:paraId="23098598" w14:textId="77777777" w:rsidR="006F5332" w:rsidRPr="00765950" w:rsidRDefault="009A7ACF" w:rsidP="001626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Eneboliger</w:t>
            </w:r>
          </w:p>
        </w:tc>
      </w:tr>
      <w:tr w:rsidR="006F5332" w:rsidRPr="001B023B" w14:paraId="564D4AF2" w14:textId="77777777" w:rsidTr="006075B0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049F85FD" w14:textId="77777777" w:rsidR="006F5332" w:rsidRPr="00765950" w:rsidRDefault="006F5332" w:rsidP="001626A0">
            <w:pPr>
              <w:spacing w:after="0" w:line="240" w:lineRule="auto"/>
              <w:rPr>
                <w:b w:val="0"/>
                <w:noProof/>
                <w:sz w:val="20"/>
                <w:szCs w:val="20"/>
              </w:rPr>
            </w:pPr>
          </w:p>
        </w:tc>
        <w:tc>
          <w:tcPr>
            <w:tcW w:w="2694" w:type="dxa"/>
          </w:tcPr>
          <w:p w14:paraId="76E3EED5" w14:textId="77777777" w:rsidR="006F5332" w:rsidRPr="001B023B" w:rsidRDefault="009A7ACF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Hovsveien nord (</w:t>
            </w:r>
            <w:r w:rsidRPr="006075B0">
              <w:rPr>
                <w:bCs/>
                <w:noProof/>
                <w:color w:val="FF0000"/>
                <w:sz w:val="20"/>
                <w:szCs w:val="20"/>
              </w:rPr>
              <w:t>B12</w:t>
            </w:r>
            <w:r w:rsidRPr="001B023B">
              <w:rPr>
                <w:bCs/>
                <w:noProof/>
                <w:sz w:val="20"/>
                <w:szCs w:val="20"/>
              </w:rPr>
              <w:t>)</w:t>
            </w:r>
          </w:p>
        </w:tc>
        <w:tc>
          <w:tcPr>
            <w:tcW w:w="3260" w:type="dxa"/>
          </w:tcPr>
          <w:p w14:paraId="214E5CDD" w14:textId="77777777" w:rsidR="006F5332" w:rsidRPr="001B023B" w:rsidRDefault="009A7ACF" w:rsidP="001626A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0"/>
                <w:szCs w:val="20"/>
              </w:rPr>
            </w:pPr>
            <w:r w:rsidRPr="001B023B">
              <w:rPr>
                <w:bCs/>
                <w:noProof/>
                <w:sz w:val="20"/>
                <w:szCs w:val="20"/>
              </w:rPr>
              <w:t>Eneboliger/småhusbebyggelse</w:t>
            </w:r>
          </w:p>
        </w:tc>
      </w:tr>
    </w:tbl>
    <w:p w14:paraId="6E411CBF" w14:textId="77777777" w:rsidR="006F5332" w:rsidRPr="00765950" w:rsidRDefault="006F5332" w:rsidP="006F5332">
      <w:pPr>
        <w:rPr>
          <w:b/>
          <w:noProof/>
        </w:rPr>
      </w:pPr>
    </w:p>
    <w:p w14:paraId="52F8CEBC" w14:textId="77777777" w:rsidR="006F5332" w:rsidRPr="00765950" w:rsidRDefault="006F5332" w:rsidP="006F5332">
      <w:pPr>
        <w:ind w:left="708"/>
        <w:rPr>
          <w:b/>
          <w:noProof/>
        </w:rPr>
      </w:pPr>
      <w:r w:rsidRPr="00765950">
        <w:rPr>
          <w:noProof/>
        </w:rPr>
        <w:t xml:space="preserve">De enkelte feltene skal bygges ut i den rekkefølge som framgår av periodiseringen. Dette innebærer at felt som hører til en senere </w:t>
      </w:r>
      <w:r>
        <w:rPr>
          <w:noProof/>
        </w:rPr>
        <w:t>gruppe/</w:t>
      </w:r>
      <w:r w:rsidRPr="00765950">
        <w:rPr>
          <w:noProof/>
        </w:rPr>
        <w:t xml:space="preserve">periode ikke skal igangsettes for regulering før det er gitt byggetillatelse på </w:t>
      </w:r>
      <w:r>
        <w:rPr>
          <w:noProof/>
        </w:rPr>
        <w:t>minst</w:t>
      </w:r>
      <w:r w:rsidRPr="00765950">
        <w:rPr>
          <w:noProof/>
        </w:rPr>
        <w:t xml:space="preserve"> 75 % av tomtene på de regulerte feltene som hører til den tidligere perioden. </w:t>
      </w:r>
    </w:p>
    <w:p w14:paraId="2E1FEC2C" w14:textId="77777777" w:rsidR="006F5332" w:rsidRPr="00765950" w:rsidRDefault="006F5332" w:rsidP="006F5332">
      <w:pPr>
        <w:ind w:left="708"/>
        <w:rPr>
          <w:b/>
          <w:noProof/>
        </w:rPr>
      </w:pPr>
      <w:r w:rsidRPr="00765950">
        <w:rPr>
          <w:noProof/>
        </w:rPr>
        <w:t>Den uregulerte delen av Remmen (B5) kan ikke igangsettes for utbygging før 80 % av den regulerte delen er ferdig utbygd.</w:t>
      </w:r>
      <w:r>
        <w:rPr>
          <w:noProof/>
        </w:rPr>
        <w:t xml:space="preserve"> </w:t>
      </w:r>
    </w:p>
    <w:p w14:paraId="19B420B7" w14:textId="77777777" w:rsidR="006F5332" w:rsidRDefault="006F5332" w:rsidP="006F5332">
      <w:pPr>
        <w:ind w:left="708"/>
        <w:rPr>
          <w:noProof/>
        </w:rPr>
      </w:pPr>
      <w:r w:rsidRPr="00765950">
        <w:rPr>
          <w:noProof/>
        </w:rPr>
        <w:t>Strupe (</w:t>
      </w:r>
      <w:r w:rsidRPr="00A35B30">
        <w:rPr>
          <w:noProof/>
          <w:highlight w:val="yellow"/>
        </w:rPr>
        <w:t>B6 og B7</w:t>
      </w:r>
      <w:r w:rsidRPr="00765950">
        <w:rPr>
          <w:noProof/>
        </w:rPr>
        <w:t>) skal detaljreguleres basert på en områdeplan, og utbygging skal skje trinnvis.</w:t>
      </w:r>
      <w:r>
        <w:rPr>
          <w:noProof/>
        </w:rPr>
        <w:t xml:space="preserve"> H</w:t>
      </w:r>
      <w:r w:rsidRPr="009257A6">
        <w:rPr>
          <w:noProof/>
        </w:rPr>
        <w:t>ovedvegsystem</w:t>
      </w:r>
      <w:r>
        <w:rPr>
          <w:noProof/>
        </w:rPr>
        <w:t>/adkomstveger for området skal være</w:t>
      </w:r>
      <w:r w:rsidRPr="009257A6">
        <w:rPr>
          <w:noProof/>
        </w:rPr>
        <w:t xml:space="preserve"> bygd</w:t>
      </w:r>
      <w:r>
        <w:rPr>
          <w:noProof/>
        </w:rPr>
        <w:t xml:space="preserve"> før detaljregulering av </w:t>
      </w:r>
      <w:r w:rsidRPr="00A35B30">
        <w:rPr>
          <w:noProof/>
          <w:highlight w:val="yellow"/>
        </w:rPr>
        <w:t>B6 og B7</w:t>
      </w:r>
      <w:r>
        <w:rPr>
          <w:noProof/>
        </w:rPr>
        <w:t>.</w:t>
      </w:r>
    </w:p>
    <w:bookmarkEnd w:id="0"/>
    <w:p w14:paraId="2E57BFF5" w14:textId="77777777" w:rsidR="006F5332" w:rsidRDefault="006F5332" w:rsidP="006F5332">
      <w:pPr>
        <w:ind w:left="708"/>
        <w:rPr>
          <w:bCs/>
          <w:noProof/>
          <w:color w:val="FF0000"/>
        </w:rPr>
      </w:pPr>
      <w:r w:rsidRPr="003438D5">
        <w:rPr>
          <w:bCs/>
          <w:noProof/>
          <w:color w:val="FF0000"/>
        </w:rPr>
        <w:t>c) Områdene Brønnhøyden</w:t>
      </w:r>
      <w:r>
        <w:rPr>
          <w:bCs/>
          <w:noProof/>
          <w:color w:val="FF0000"/>
        </w:rPr>
        <w:t>, Grimsrødhøgda, Tistedal (</w:t>
      </w:r>
      <w:r w:rsidRPr="003438D5">
        <w:rPr>
          <w:bCs/>
          <w:noProof/>
          <w:color w:val="FF0000"/>
          <w:highlight w:val="yellow"/>
        </w:rPr>
        <w:t>B12</w:t>
      </w:r>
      <w:r>
        <w:rPr>
          <w:bCs/>
          <w:noProof/>
          <w:color w:val="FF0000"/>
        </w:rPr>
        <w:t>) kan bygges ut når som helst i planperioden.</w:t>
      </w:r>
    </w:p>
    <w:p w14:paraId="776BEBAC" w14:textId="77777777" w:rsidR="006F5332" w:rsidRPr="003438D5" w:rsidRDefault="006F5332" w:rsidP="006F5332">
      <w:pPr>
        <w:ind w:left="708"/>
        <w:rPr>
          <w:bCs/>
          <w:noProof/>
          <w:color w:val="FF0000"/>
        </w:rPr>
      </w:pPr>
      <w:r>
        <w:rPr>
          <w:bCs/>
          <w:noProof/>
          <w:color w:val="FF0000"/>
        </w:rPr>
        <w:t>d) Områdene i Sponvika (</w:t>
      </w:r>
      <w:r w:rsidRPr="003438D5">
        <w:rPr>
          <w:bCs/>
          <w:noProof/>
          <w:color w:val="FF0000"/>
          <w:highlight w:val="yellow"/>
        </w:rPr>
        <w:t>B1</w:t>
      </w:r>
      <w:r>
        <w:rPr>
          <w:bCs/>
          <w:noProof/>
          <w:color w:val="FF0000"/>
        </w:rPr>
        <w:t xml:space="preserve">) og Svalerødmyra (utvidelse av </w:t>
      </w:r>
      <w:r w:rsidRPr="006075B0">
        <w:rPr>
          <w:bCs/>
          <w:noProof/>
          <w:color w:val="FF0000"/>
          <w:highlight w:val="yellow"/>
        </w:rPr>
        <w:t>B1</w:t>
      </w:r>
      <w:r>
        <w:rPr>
          <w:bCs/>
          <w:noProof/>
          <w:color w:val="FF0000"/>
        </w:rPr>
        <w:t>) er avsatt for vedlikeholdsutbygging og kan bygges ut i hele perioden.</w:t>
      </w:r>
    </w:p>
    <w:p w14:paraId="023D253E" w14:textId="77777777" w:rsidR="00AE7685" w:rsidRDefault="00AE7685"/>
    <w:sectPr w:rsidR="00A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32"/>
    <w:rsid w:val="006075B0"/>
    <w:rsid w:val="006F5332"/>
    <w:rsid w:val="009A7ACF"/>
    <w:rsid w:val="00AE7685"/>
    <w:rsid w:val="00FE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148A0-29AB-4A87-AA9F-53AEBDA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533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uthevingsfarge5">
    <w:name w:val="Grid Table 1 Light Accent 5"/>
    <w:basedOn w:val="Vanligtabell"/>
    <w:uiPriority w:val="46"/>
    <w:rsid w:val="006F53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Helga Walbom Schneede</dc:creator>
  <cp:keywords/>
  <dc:description/>
  <cp:lastModifiedBy>Kristine Helga Walbom Schneede</cp:lastModifiedBy>
  <cp:revision>3</cp:revision>
  <dcterms:created xsi:type="dcterms:W3CDTF">2021-02-09T13:01:00Z</dcterms:created>
  <dcterms:modified xsi:type="dcterms:W3CDTF">2021-02-09T13:43:00Z</dcterms:modified>
</cp:coreProperties>
</file>